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2100"/>
        </w:tabs>
        <w:spacing w:line="360" w:lineRule="auto"/>
        <w:rPr>
          <w:rFonts w:ascii="宋体" w:hAnsi="宋体" w:eastAsia="宋体" w:cs="宋体"/>
          <w:b/>
          <w:sz w:val="52"/>
          <w:szCs w:val="52"/>
        </w:rPr>
      </w:pPr>
    </w:p>
    <w:p>
      <w:pPr>
        <w:pStyle w:val="11"/>
        <w:jc w:val="center"/>
        <w:rPr>
          <w:rFonts w:asciiTheme="minorEastAsia" w:hAnsiTheme="minorEastAsia" w:eastAsiaTheme="minorEastAsia" w:cstheme="minorEastAsia"/>
          <w:b/>
          <w:bCs/>
          <w:sz w:val="20"/>
          <w:szCs w:val="22"/>
        </w:rPr>
      </w:pPr>
      <w:r>
        <w:rPr>
          <w:rFonts w:hint="eastAsia" w:asciiTheme="minorEastAsia" w:hAnsiTheme="minorEastAsia" w:eastAsiaTheme="minorEastAsia" w:cstheme="minorEastAsia"/>
          <w:b/>
          <w:bCs/>
          <w:kern w:val="0"/>
          <w:sz w:val="40"/>
          <w:szCs w:val="28"/>
        </w:rPr>
        <w:t>郑州铁路职业技术学院</w:t>
      </w:r>
      <w:bookmarkStart w:id="141" w:name="_GoBack"/>
      <w:r>
        <w:rPr>
          <w:rFonts w:hint="eastAsia" w:asciiTheme="minorEastAsia" w:hAnsiTheme="minorEastAsia" w:eastAsiaTheme="minorEastAsia" w:cstheme="minorEastAsia"/>
          <w:b/>
          <w:bCs/>
          <w:kern w:val="0"/>
          <w:sz w:val="40"/>
          <w:szCs w:val="28"/>
        </w:rPr>
        <w:t>列车牵引</w:t>
      </w:r>
      <w:bookmarkEnd w:id="141"/>
      <w:r>
        <w:rPr>
          <w:rFonts w:hint="eastAsia" w:asciiTheme="minorEastAsia" w:hAnsiTheme="minorEastAsia" w:eastAsiaTheme="minorEastAsia" w:cstheme="minorEastAsia"/>
          <w:b/>
          <w:bCs/>
          <w:kern w:val="0"/>
          <w:sz w:val="40"/>
          <w:szCs w:val="28"/>
        </w:rPr>
        <w:t>控制系统综合应用实训室（国家双高计划建设项目）项目</w:t>
      </w:r>
    </w:p>
    <w:p>
      <w:pPr>
        <w:spacing w:line="360" w:lineRule="auto"/>
        <w:ind w:left="466" w:leftChars="222"/>
        <w:jc w:val="center"/>
        <w:rPr>
          <w:rFonts w:ascii="宋体" w:hAnsi="宋体" w:eastAsia="宋体" w:cs="宋体"/>
          <w:b/>
          <w:sz w:val="28"/>
          <w:szCs w:val="28"/>
        </w:rPr>
      </w:pPr>
      <w:r>
        <w:rPr>
          <w:rFonts w:hint="eastAsia" w:asciiTheme="minorEastAsia" w:hAnsiTheme="minorEastAsia" w:eastAsiaTheme="minorEastAsia" w:cstheme="minorEastAsia"/>
          <w:b/>
          <w:bCs/>
          <w:kern w:val="0"/>
          <w:sz w:val="40"/>
          <w:szCs w:val="28"/>
        </w:rPr>
        <w:t>（二次）</w:t>
      </w:r>
    </w:p>
    <w:p>
      <w:pPr>
        <w:spacing w:line="360" w:lineRule="auto"/>
        <w:rPr>
          <w:rFonts w:ascii="宋体" w:hAnsi="宋体" w:eastAsia="宋体" w:cs="宋体"/>
          <w:b/>
          <w:sz w:val="96"/>
          <w:szCs w:val="96"/>
        </w:rPr>
      </w:pPr>
    </w:p>
    <w:p>
      <w:pPr>
        <w:spacing w:line="360" w:lineRule="auto"/>
        <w:ind w:firstLine="482" w:firstLineChars="50"/>
        <w:jc w:val="center"/>
        <w:rPr>
          <w:rFonts w:ascii="宋体" w:hAnsi="宋体" w:eastAsia="宋体" w:cs="宋体"/>
          <w:b/>
          <w:sz w:val="28"/>
          <w:szCs w:val="28"/>
        </w:rPr>
      </w:pPr>
      <w:r>
        <w:rPr>
          <w:rFonts w:hint="eastAsia" w:ascii="宋体" w:hAnsi="宋体" w:eastAsia="宋体" w:cs="宋体"/>
          <w:b/>
          <w:sz w:val="96"/>
          <w:szCs w:val="96"/>
        </w:rPr>
        <w:t>招标文件</w:t>
      </w:r>
    </w:p>
    <w:p>
      <w:pPr>
        <w:spacing w:line="360" w:lineRule="auto"/>
        <w:jc w:val="center"/>
        <w:rPr>
          <w:rFonts w:ascii="宋体" w:hAnsi="宋体" w:eastAsia="宋体" w:cs="宋体"/>
          <w:b/>
          <w:sz w:val="28"/>
          <w:szCs w:val="28"/>
        </w:rPr>
      </w:pPr>
      <w:r>
        <w:rPr>
          <w:rFonts w:hint="eastAsia" w:ascii="宋体" w:hAnsi="宋体" w:eastAsia="宋体" w:cs="宋体"/>
          <w:b/>
          <w:sz w:val="28"/>
          <w:szCs w:val="28"/>
        </w:rPr>
        <w:t>项目编号：豫财招标采购-2022-621</w:t>
      </w:r>
    </w:p>
    <w:p>
      <w:pPr>
        <w:spacing w:line="360" w:lineRule="auto"/>
        <w:jc w:val="center"/>
        <w:rPr>
          <w:rFonts w:ascii="宋体" w:hAnsi="宋体" w:eastAsia="宋体" w:cs="宋体"/>
          <w:b/>
          <w:sz w:val="28"/>
          <w:szCs w:val="28"/>
        </w:rPr>
      </w:pPr>
    </w:p>
    <w:p>
      <w:pPr>
        <w:spacing w:line="360" w:lineRule="auto"/>
        <w:rPr>
          <w:rFonts w:ascii="宋体" w:hAnsi="宋体" w:eastAsia="宋体" w:cs="宋体"/>
          <w:b/>
          <w:sz w:val="28"/>
          <w:szCs w:val="28"/>
        </w:rPr>
      </w:pPr>
    </w:p>
    <w:p>
      <w:pPr>
        <w:jc w:val="center"/>
        <w:rPr>
          <w:rFonts w:ascii="宋体" w:hAnsi="宋体" w:eastAsia="宋体" w:cs="宋体"/>
          <w:b/>
          <w:sz w:val="28"/>
          <w:szCs w:val="28"/>
        </w:rPr>
      </w:pPr>
      <w:r>
        <w:drawing>
          <wp:inline distT="0" distB="0" distL="0" distR="0">
            <wp:extent cx="2381885" cy="1680845"/>
            <wp:effectExtent l="0" t="0" r="0" b="0"/>
            <wp:docPr id="4" name="图片 4" descr="C:\Users\admin\Desktop\LOGO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Desktop\LOGO .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2381885" cy="1680845"/>
                    </a:xfrm>
                    <a:prstGeom prst="rect">
                      <a:avLst/>
                    </a:prstGeom>
                    <a:noFill/>
                    <a:ln>
                      <a:noFill/>
                    </a:ln>
                  </pic:spPr>
                </pic:pic>
              </a:graphicData>
            </a:graphic>
          </wp:inline>
        </w:drawing>
      </w:r>
    </w:p>
    <w:p>
      <w:pPr>
        <w:pStyle w:val="10"/>
        <w:rPr>
          <w:sz w:val="28"/>
          <w:szCs w:val="21"/>
        </w:rPr>
      </w:pPr>
    </w:p>
    <w:p>
      <w:pPr>
        <w:spacing w:line="480" w:lineRule="auto"/>
        <w:jc w:val="center"/>
        <w:rPr>
          <w:rFonts w:ascii="宋体" w:hAnsi="宋体" w:eastAsia="宋体" w:cs="宋体"/>
          <w:b/>
          <w:sz w:val="36"/>
          <w:szCs w:val="36"/>
        </w:rPr>
      </w:pPr>
      <w:r>
        <w:rPr>
          <w:rFonts w:hint="eastAsia" w:ascii="宋体" w:hAnsi="宋体" w:eastAsia="宋体" w:cs="宋体"/>
          <w:b/>
          <w:sz w:val="36"/>
          <w:szCs w:val="36"/>
        </w:rPr>
        <w:t>采购人：郑州铁路职业技术学院</w:t>
      </w:r>
    </w:p>
    <w:p>
      <w:pPr>
        <w:spacing w:line="480" w:lineRule="auto"/>
        <w:jc w:val="center"/>
        <w:rPr>
          <w:rFonts w:ascii="宋体" w:hAnsi="宋体" w:eastAsia="宋体" w:cs="宋体"/>
          <w:b/>
          <w:sz w:val="36"/>
          <w:szCs w:val="36"/>
        </w:rPr>
      </w:pPr>
      <w:r>
        <w:rPr>
          <w:rFonts w:hint="eastAsia" w:ascii="宋体" w:hAnsi="宋体" w:eastAsia="宋体" w:cs="宋体"/>
          <w:b/>
          <w:sz w:val="36"/>
          <w:szCs w:val="36"/>
        </w:rPr>
        <w:t>采购代理机构：河南正禄招标代理有限公司</w:t>
      </w:r>
    </w:p>
    <w:p>
      <w:pPr>
        <w:spacing w:line="480" w:lineRule="auto"/>
        <w:jc w:val="center"/>
        <w:rPr>
          <w:rFonts w:ascii="宋体" w:hAnsi="宋体" w:eastAsia="宋体" w:cs="宋体"/>
          <w:sz w:val="22"/>
          <w:szCs w:val="28"/>
        </w:rPr>
        <w:sectPr>
          <w:headerReference r:id="rId3" w:type="default"/>
          <w:footerReference r:id="rId4" w:type="default"/>
          <w:pgSz w:w="11906" w:h="16838"/>
          <w:pgMar w:top="1418" w:right="1418" w:bottom="1418" w:left="1701" w:header="851" w:footer="992" w:gutter="0"/>
          <w:cols w:space="720" w:num="1"/>
          <w:docGrid w:type="lines" w:linePitch="312" w:charSpace="0"/>
        </w:sectPr>
      </w:pPr>
      <w:r>
        <w:rPr>
          <w:rFonts w:hint="eastAsia" w:ascii="宋体" w:hAnsi="宋体" w:eastAsia="宋体" w:cs="宋体"/>
          <w:b/>
          <w:sz w:val="36"/>
          <w:szCs w:val="36"/>
        </w:rPr>
        <w:t>二○二二年九月</w:t>
      </w:r>
    </w:p>
    <w:p>
      <w:pPr>
        <w:spacing w:line="360" w:lineRule="auto"/>
        <w:rPr>
          <w:rFonts w:ascii="宋体" w:hAnsi="宋体" w:eastAsia="宋体" w:cs="宋体"/>
          <w:bCs/>
          <w:sz w:val="44"/>
          <w:szCs w:val="44"/>
        </w:rPr>
      </w:pPr>
    </w:p>
    <w:p>
      <w:pPr>
        <w:pStyle w:val="21"/>
        <w:tabs>
          <w:tab w:val="right" w:leader="dot" w:pos="8306"/>
        </w:tabs>
        <w:spacing w:line="360" w:lineRule="auto"/>
        <w:jc w:val="center"/>
        <w:rPr>
          <w:rFonts w:ascii="宋体" w:hAnsi="宋体" w:eastAsia="宋体" w:cs="宋体"/>
          <w:bCs/>
          <w:sz w:val="36"/>
          <w:szCs w:val="44"/>
        </w:rPr>
      </w:pPr>
      <w:r>
        <w:rPr>
          <w:rFonts w:hint="eastAsia" w:ascii="宋体" w:hAnsi="宋体" w:eastAsia="宋体" w:cs="宋体"/>
          <w:bCs/>
          <w:sz w:val="36"/>
          <w:szCs w:val="44"/>
        </w:rPr>
        <w:t>目     录</w:t>
      </w:r>
    </w:p>
    <w:p>
      <w:pPr>
        <w:pStyle w:val="21"/>
        <w:tabs>
          <w:tab w:val="right" w:leader="dot" w:pos="8306"/>
        </w:tabs>
        <w:spacing w:line="600" w:lineRule="auto"/>
        <w:rPr>
          <w:rFonts w:asciiTheme="minorEastAsia" w:hAnsiTheme="minorEastAsia" w:eastAsiaTheme="minorEastAsia" w:cstheme="minorEastAsia"/>
          <w:sz w:val="24"/>
        </w:rPr>
      </w:pPr>
      <w:r>
        <w:rPr>
          <w:rFonts w:hint="eastAsia"/>
        </w:rPr>
        <w:fldChar w:fldCharType="begin"/>
      </w:r>
      <w:r>
        <w:rPr>
          <w:rFonts w:hint="eastAsia"/>
        </w:rPr>
        <w:instrText xml:space="preserve">TOC \o "1-2" \h \u </w:instrText>
      </w:r>
      <w:r>
        <w:rPr>
          <w:rFonts w:hint="eastAsia"/>
        </w:rPr>
        <w:fldChar w:fldCharType="separate"/>
      </w:r>
      <w:r>
        <w:fldChar w:fldCharType="begin"/>
      </w:r>
      <w:r>
        <w:instrText xml:space="preserve"> HYPERLINK \l "_Toc2860" </w:instrText>
      </w:r>
      <w:r>
        <w:fldChar w:fldCharType="separate"/>
      </w:r>
      <w:r>
        <w:rPr>
          <w:rFonts w:hint="eastAsia" w:asciiTheme="minorEastAsia" w:hAnsiTheme="minorEastAsia" w:eastAsiaTheme="minorEastAsia" w:cstheme="minorEastAsia"/>
          <w:sz w:val="24"/>
        </w:rPr>
        <w:t>第一章 招标公告</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fldChar w:fldCharType="begin"/>
      </w:r>
      <w:r>
        <w:rPr>
          <w:rFonts w:hint="eastAsia" w:asciiTheme="minorEastAsia" w:hAnsiTheme="minorEastAsia" w:eastAsiaTheme="minorEastAsia" w:cstheme="minorEastAsia"/>
          <w:sz w:val="24"/>
        </w:rPr>
        <w:instrText xml:space="preserve"> PAGEREF _Toc2860 \h </w:instrText>
      </w:r>
      <w:r>
        <w:rPr>
          <w:rFonts w:hint="eastAsia" w:asciiTheme="minorEastAsia" w:hAnsiTheme="minorEastAsia" w:eastAsiaTheme="minorEastAsia" w:cstheme="minorEastAsia"/>
          <w:sz w:val="24"/>
        </w:rPr>
        <w:fldChar w:fldCharType="separate"/>
      </w: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z w:val="24"/>
        </w:rPr>
        <w:fldChar w:fldCharType="end"/>
      </w:r>
      <w:r>
        <w:rPr>
          <w:rFonts w:hint="eastAsia" w:asciiTheme="minorEastAsia" w:hAnsiTheme="minorEastAsia" w:eastAsiaTheme="minorEastAsia" w:cstheme="minorEastAsia"/>
          <w:sz w:val="24"/>
        </w:rPr>
        <w:fldChar w:fldCharType="end"/>
      </w:r>
    </w:p>
    <w:p>
      <w:pPr>
        <w:pStyle w:val="21"/>
        <w:tabs>
          <w:tab w:val="right" w:leader="dot" w:pos="8306"/>
        </w:tabs>
        <w:spacing w:line="600" w:lineRule="auto"/>
        <w:rPr>
          <w:rFonts w:asciiTheme="minorEastAsia" w:hAnsiTheme="minorEastAsia" w:eastAsiaTheme="minorEastAsia" w:cstheme="minorEastAsia"/>
          <w:sz w:val="24"/>
        </w:rPr>
      </w:pPr>
      <w:r>
        <w:fldChar w:fldCharType="begin"/>
      </w:r>
      <w:r>
        <w:instrText xml:space="preserve"> HYPERLINK \l "_Toc12288" </w:instrText>
      </w:r>
      <w:r>
        <w:fldChar w:fldCharType="separate"/>
      </w:r>
      <w:r>
        <w:rPr>
          <w:rFonts w:hint="eastAsia" w:asciiTheme="minorEastAsia" w:hAnsiTheme="minorEastAsia" w:eastAsiaTheme="minorEastAsia" w:cstheme="minorEastAsia"/>
          <w:sz w:val="24"/>
        </w:rPr>
        <w:t>第二章 投标人须知</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4</w:t>
      </w:r>
      <w:r>
        <w:rPr>
          <w:rFonts w:hint="eastAsia" w:asciiTheme="minorEastAsia" w:hAnsiTheme="minorEastAsia" w:eastAsiaTheme="minorEastAsia" w:cstheme="minorEastAsia"/>
          <w:sz w:val="24"/>
        </w:rPr>
        <w:fldChar w:fldCharType="end"/>
      </w:r>
    </w:p>
    <w:p>
      <w:pPr>
        <w:pStyle w:val="21"/>
        <w:tabs>
          <w:tab w:val="right" w:leader="dot" w:pos="8306"/>
        </w:tabs>
        <w:spacing w:line="600" w:lineRule="auto"/>
        <w:rPr>
          <w:rFonts w:asciiTheme="minorEastAsia" w:hAnsiTheme="minorEastAsia" w:eastAsiaTheme="minorEastAsia" w:cstheme="minorEastAsia"/>
          <w:sz w:val="24"/>
        </w:rPr>
      </w:pPr>
      <w:r>
        <w:fldChar w:fldCharType="begin"/>
      </w:r>
      <w:r>
        <w:instrText xml:space="preserve"> HYPERLINK \l "_Toc18793" </w:instrText>
      </w:r>
      <w:r>
        <w:fldChar w:fldCharType="separate"/>
      </w:r>
      <w:r>
        <w:rPr>
          <w:rFonts w:hint="eastAsia" w:asciiTheme="minorEastAsia" w:hAnsiTheme="minorEastAsia" w:eastAsiaTheme="minorEastAsia" w:cstheme="minorEastAsia"/>
          <w:sz w:val="24"/>
        </w:rPr>
        <w:t>第三章 评标办法（综合评分法）</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fldChar w:fldCharType="begin"/>
      </w:r>
      <w:r>
        <w:rPr>
          <w:rFonts w:hint="eastAsia" w:asciiTheme="minorEastAsia" w:hAnsiTheme="minorEastAsia" w:eastAsiaTheme="minorEastAsia" w:cstheme="minorEastAsia"/>
          <w:sz w:val="24"/>
        </w:rPr>
        <w:instrText xml:space="preserve"> PAGEREF _Toc18793 \h </w:instrText>
      </w:r>
      <w:r>
        <w:rPr>
          <w:rFonts w:hint="eastAsia" w:asciiTheme="minorEastAsia" w:hAnsiTheme="minorEastAsia" w:eastAsiaTheme="minorEastAsia" w:cstheme="minorEastAsia"/>
          <w:sz w:val="24"/>
        </w:rPr>
        <w:fldChar w:fldCharType="separate"/>
      </w:r>
      <w:r>
        <w:rPr>
          <w:rFonts w:hint="eastAsia" w:asciiTheme="minorEastAsia" w:hAnsiTheme="minorEastAsia" w:eastAsiaTheme="minorEastAsia" w:cstheme="minorEastAsia"/>
          <w:sz w:val="24"/>
        </w:rPr>
        <w:t>23</w:t>
      </w:r>
      <w:r>
        <w:rPr>
          <w:rFonts w:hint="eastAsia" w:asciiTheme="minorEastAsia" w:hAnsiTheme="minorEastAsia" w:eastAsiaTheme="minorEastAsia" w:cstheme="minorEastAsia"/>
          <w:sz w:val="24"/>
        </w:rPr>
        <w:fldChar w:fldCharType="end"/>
      </w:r>
      <w:r>
        <w:rPr>
          <w:rFonts w:hint="eastAsia" w:asciiTheme="minorEastAsia" w:hAnsiTheme="minorEastAsia" w:eastAsiaTheme="minorEastAsia" w:cstheme="minorEastAsia"/>
          <w:sz w:val="24"/>
        </w:rPr>
        <w:fldChar w:fldCharType="end"/>
      </w:r>
    </w:p>
    <w:p>
      <w:pPr>
        <w:pStyle w:val="21"/>
        <w:tabs>
          <w:tab w:val="right" w:leader="dot" w:pos="8306"/>
        </w:tabs>
        <w:spacing w:line="600" w:lineRule="auto"/>
        <w:rPr>
          <w:rFonts w:asciiTheme="minorEastAsia" w:hAnsiTheme="minorEastAsia" w:eastAsiaTheme="minorEastAsia" w:cstheme="minorEastAsia"/>
          <w:sz w:val="24"/>
        </w:rPr>
      </w:pPr>
      <w:r>
        <w:fldChar w:fldCharType="begin"/>
      </w:r>
      <w:r>
        <w:instrText xml:space="preserve"> HYPERLINK \l "_Toc2227" </w:instrText>
      </w:r>
      <w:r>
        <w:fldChar w:fldCharType="separate"/>
      </w:r>
      <w:r>
        <w:rPr>
          <w:rFonts w:hint="eastAsia" w:asciiTheme="minorEastAsia" w:hAnsiTheme="minorEastAsia" w:eastAsiaTheme="minorEastAsia" w:cstheme="minorEastAsia"/>
          <w:sz w:val="24"/>
        </w:rPr>
        <w:t>第四章 采购需求</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fldChar w:fldCharType="begin"/>
      </w:r>
      <w:r>
        <w:rPr>
          <w:rFonts w:hint="eastAsia" w:asciiTheme="minorEastAsia" w:hAnsiTheme="minorEastAsia" w:eastAsiaTheme="minorEastAsia" w:cstheme="minorEastAsia"/>
          <w:sz w:val="24"/>
        </w:rPr>
        <w:instrText xml:space="preserve"> PAGEREF _Toc2227 \h </w:instrText>
      </w:r>
      <w:r>
        <w:rPr>
          <w:rFonts w:hint="eastAsia" w:asciiTheme="minorEastAsia" w:hAnsiTheme="minorEastAsia" w:eastAsiaTheme="minorEastAsia" w:cstheme="minorEastAsia"/>
          <w:sz w:val="24"/>
        </w:rPr>
        <w:fldChar w:fldCharType="separate"/>
      </w:r>
      <w:r>
        <w:rPr>
          <w:rFonts w:hint="eastAsia" w:asciiTheme="minorEastAsia" w:hAnsiTheme="minorEastAsia" w:eastAsiaTheme="minorEastAsia" w:cstheme="minorEastAsia"/>
          <w:sz w:val="24"/>
        </w:rPr>
        <w:t>31</w:t>
      </w:r>
      <w:r>
        <w:rPr>
          <w:rFonts w:hint="eastAsia" w:asciiTheme="minorEastAsia" w:hAnsiTheme="minorEastAsia" w:eastAsiaTheme="minorEastAsia" w:cstheme="minorEastAsia"/>
          <w:sz w:val="24"/>
        </w:rPr>
        <w:fldChar w:fldCharType="end"/>
      </w:r>
      <w:r>
        <w:rPr>
          <w:rFonts w:hint="eastAsia" w:asciiTheme="minorEastAsia" w:hAnsiTheme="minorEastAsia" w:eastAsiaTheme="minorEastAsia" w:cstheme="minorEastAsia"/>
          <w:sz w:val="24"/>
        </w:rPr>
        <w:fldChar w:fldCharType="end"/>
      </w:r>
    </w:p>
    <w:p>
      <w:pPr>
        <w:pStyle w:val="21"/>
        <w:tabs>
          <w:tab w:val="right" w:leader="dot" w:pos="8306"/>
        </w:tabs>
        <w:spacing w:line="600" w:lineRule="auto"/>
        <w:rPr>
          <w:rFonts w:asciiTheme="minorEastAsia" w:hAnsiTheme="minorEastAsia" w:eastAsiaTheme="minorEastAsia" w:cstheme="minorEastAsia"/>
          <w:sz w:val="24"/>
        </w:rPr>
      </w:pPr>
      <w:r>
        <w:fldChar w:fldCharType="begin"/>
      </w:r>
      <w:r>
        <w:instrText xml:space="preserve"> HYPERLINK \l "_Toc10101" </w:instrText>
      </w:r>
      <w:r>
        <w:fldChar w:fldCharType="separate"/>
      </w:r>
      <w:r>
        <w:rPr>
          <w:rFonts w:hint="eastAsia" w:asciiTheme="minorEastAsia" w:hAnsiTheme="minorEastAsia" w:eastAsiaTheme="minorEastAsia" w:cstheme="minorEastAsia"/>
          <w:kern w:val="44"/>
          <w:sz w:val="24"/>
        </w:rPr>
        <w:t>第五章 合同条款及格式</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fldChar w:fldCharType="begin"/>
      </w:r>
      <w:r>
        <w:rPr>
          <w:rFonts w:hint="eastAsia" w:asciiTheme="minorEastAsia" w:hAnsiTheme="minorEastAsia" w:eastAsiaTheme="minorEastAsia" w:cstheme="minorEastAsia"/>
          <w:sz w:val="24"/>
        </w:rPr>
        <w:instrText xml:space="preserve"> PAGEREF _Toc10101 \h </w:instrText>
      </w:r>
      <w:r>
        <w:rPr>
          <w:rFonts w:hint="eastAsia" w:asciiTheme="minorEastAsia" w:hAnsiTheme="minorEastAsia" w:eastAsiaTheme="minorEastAsia" w:cstheme="minorEastAsia"/>
          <w:sz w:val="24"/>
        </w:rPr>
        <w:fldChar w:fldCharType="separate"/>
      </w:r>
      <w:r>
        <w:rPr>
          <w:rFonts w:hint="eastAsia" w:asciiTheme="minorEastAsia" w:hAnsiTheme="minorEastAsia" w:eastAsiaTheme="minorEastAsia" w:cstheme="minorEastAsia"/>
          <w:sz w:val="24"/>
        </w:rPr>
        <w:t>37</w:t>
      </w:r>
      <w:r>
        <w:rPr>
          <w:rFonts w:hint="eastAsia" w:asciiTheme="minorEastAsia" w:hAnsiTheme="minorEastAsia" w:eastAsiaTheme="minorEastAsia" w:cstheme="minorEastAsia"/>
          <w:sz w:val="24"/>
        </w:rPr>
        <w:fldChar w:fldCharType="end"/>
      </w:r>
      <w:r>
        <w:rPr>
          <w:rFonts w:hint="eastAsia" w:asciiTheme="minorEastAsia" w:hAnsiTheme="minorEastAsia" w:eastAsiaTheme="minorEastAsia" w:cstheme="minorEastAsia"/>
          <w:sz w:val="24"/>
        </w:rPr>
        <w:fldChar w:fldCharType="end"/>
      </w:r>
    </w:p>
    <w:p>
      <w:pPr>
        <w:pStyle w:val="21"/>
        <w:tabs>
          <w:tab w:val="right" w:leader="dot" w:pos="8306"/>
        </w:tabs>
        <w:spacing w:line="600" w:lineRule="auto"/>
      </w:pPr>
      <w:r>
        <w:fldChar w:fldCharType="begin"/>
      </w:r>
      <w:r>
        <w:instrText xml:space="preserve"> HYPERLINK \l "_Toc28735" </w:instrText>
      </w:r>
      <w:r>
        <w:fldChar w:fldCharType="separate"/>
      </w:r>
      <w:r>
        <w:rPr>
          <w:rFonts w:hint="eastAsia" w:asciiTheme="minorEastAsia" w:hAnsiTheme="minorEastAsia" w:eastAsiaTheme="minorEastAsia" w:cstheme="minorEastAsia"/>
          <w:sz w:val="24"/>
        </w:rPr>
        <w:t>第六章 投标文件格式</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fldChar w:fldCharType="begin"/>
      </w:r>
      <w:r>
        <w:rPr>
          <w:rFonts w:hint="eastAsia" w:asciiTheme="minorEastAsia" w:hAnsiTheme="minorEastAsia" w:eastAsiaTheme="minorEastAsia" w:cstheme="minorEastAsia"/>
          <w:sz w:val="24"/>
        </w:rPr>
        <w:instrText xml:space="preserve"> PAGEREF _Toc28735 \h </w:instrText>
      </w:r>
      <w:r>
        <w:rPr>
          <w:rFonts w:hint="eastAsia" w:asciiTheme="minorEastAsia" w:hAnsiTheme="minorEastAsia" w:eastAsiaTheme="minorEastAsia" w:cstheme="minorEastAsia"/>
          <w:sz w:val="24"/>
        </w:rPr>
        <w:fldChar w:fldCharType="separate"/>
      </w:r>
      <w:r>
        <w:rPr>
          <w:rFonts w:hint="eastAsia" w:asciiTheme="minorEastAsia" w:hAnsiTheme="minorEastAsia" w:eastAsiaTheme="minorEastAsia" w:cstheme="minorEastAsia"/>
          <w:sz w:val="24"/>
        </w:rPr>
        <w:t>45</w:t>
      </w:r>
      <w:r>
        <w:rPr>
          <w:rFonts w:hint="eastAsia" w:asciiTheme="minorEastAsia" w:hAnsiTheme="minorEastAsia" w:eastAsiaTheme="minorEastAsia" w:cstheme="minorEastAsia"/>
          <w:sz w:val="24"/>
        </w:rPr>
        <w:fldChar w:fldCharType="end"/>
      </w:r>
      <w:r>
        <w:rPr>
          <w:rFonts w:hint="eastAsia" w:asciiTheme="minorEastAsia" w:hAnsiTheme="minorEastAsia" w:eastAsiaTheme="minorEastAsia" w:cstheme="minorEastAsia"/>
          <w:sz w:val="24"/>
        </w:rPr>
        <w:fldChar w:fldCharType="end"/>
      </w:r>
    </w:p>
    <w:p>
      <w:pPr>
        <w:pStyle w:val="23"/>
        <w:tabs>
          <w:tab w:val="right" w:leader="dot" w:pos="8306"/>
        </w:tabs>
        <w:rPr>
          <w:rFonts w:asciiTheme="minorEastAsia" w:hAnsiTheme="minorEastAsia" w:eastAsiaTheme="minorEastAsia" w:cstheme="minorEastAsia"/>
          <w:sz w:val="24"/>
        </w:rPr>
      </w:pPr>
    </w:p>
    <w:p>
      <w:pPr>
        <w:pStyle w:val="4"/>
        <w:spacing w:line="360" w:lineRule="auto"/>
        <w:sectPr>
          <w:pgSz w:w="11906" w:h="16838"/>
          <w:pgMar w:top="1440" w:right="1800" w:bottom="1440" w:left="1800" w:header="851" w:footer="992" w:gutter="0"/>
          <w:cols w:space="720" w:num="1"/>
          <w:docGrid w:type="lines" w:linePitch="312" w:charSpace="0"/>
        </w:sectPr>
      </w:pPr>
      <w:r>
        <w:rPr>
          <w:rFonts w:hint="eastAsia"/>
        </w:rPr>
        <w:fldChar w:fldCharType="end"/>
      </w:r>
      <w:bookmarkStart w:id="0" w:name="_Toc2860"/>
    </w:p>
    <w:p>
      <w:pPr>
        <w:pStyle w:val="3"/>
        <w:spacing w:line="360" w:lineRule="auto"/>
        <w:rPr>
          <w:rFonts w:ascii="宋体" w:hAnsi="宋体" w:cs="宋体"/>
        </w:rPr>
      </w:pPr>
      <w:r>
        <w:rPr>
          <w:rFonts w:hint="eastAsia" w:ascii="宋体" w:hAnsi="宋体" w:cs="宋体"/>
        </w:rPr>
        <w:t>第一章 招标公告</w:t>
      </w:r>
      <w:bookmarkEnd w:id="0"/>
    </w:p>
    <w:p>
      <w:pPr>
        <w:spacing w:line="360" w:lineRule="auto"/>
        <w:jc w:val="center"/>
        <w:rPr>
          <w:rFonts w:ascii="宋体" w:hAnsi="宋体" w:eastAsia="宋体" w:cs="宋体"/>
          <w:b/>
          <w:bCs/>
          <w:sz w:val="22"/>
          <w:szCs w:val="22"/>
        </w:rPr>
      </w:pPr>
      <w:bookmarkStart w:id="1" w:name="_Toc12288"/>
      <w:r>
        <w:rPr>
          <w:rFonts w:hint="eastAsia" w:ascii="宋体" w:hAnsi="宋体" w:eastAsia="宋体" w:cs="宋体"/>
          <w:b/>
          <w:bCs/>
          <w:sz w:val="22"/>
          <w:szCs w:val="22"/>
        </w:rPr>
        <w:t>郑州铁路职业技术学院列车牵引控制系统综合应用实训室（国家双高计划建设项目）项目（二次）-招标公告</w:t>
      </w:r>
    </w:p>
    <w:p>
      <w:pPr>
        <w:spacing w:line="360" w:lineRule="auto"/>
        <w:rPr>
          <w:rFonts w:ascii="宋体" w:hAnsi="宋体" w:eastAsia="宋体" w:cs="宋体"/>
          <w:szCs w:val="21"/>
        </w:rPr>
      </w:pPr>
      <w:r>
        <w:rPr>
          <w:rFonts w:hint="eastAsia" w:ascii="宋体" w:hAnsi="宋体" w:eastAsia="宋体" w:cs="宋体"/>
          <w:szCs w:val="21"/>
        </w:rPr>
        <w:t>项目概况</w:t>
      </w:r>
    </w:p>
    <w:p>
      <w:pPr>
        <w:spacing w:line="360" w:lineRule="auto"/>
        <w:ind w:firstLine="420" w:firstLineChars="200"/>
        <w:rPr>
          <w:rFonts w:ascii="宋体" w:hAnsi="宋体" w:eastAsia="宋体" w:cs="宋体"/>
          <w:szCs w:val="21"/>
        </w:rPr>
      </w:pPr>
      <w:r>
        <w:rPr>
          <w:rFonts w:hint="eastAsia" w:ascii="宋体" w:hAnsi="宋体" w:eastAsia="宋体" w:cs="宋体"/>
          <w:szCs w:val="21"/>
        </w:rPr>
        <w:t>郑州铁路职业技术学院列车牵引控制系统综合应用实训室（国家双高计划建设项目）项目招标项目的潜在投标人应在登录河南省公共资源交易中心（http://www.hnggzy.net/）获取招标文件，并于2022年10月08日09时00分（北京时间）前递交投标文件。</w:t>
      </w:r>
    </w:p>
    <w:p>
      <w:pPr>
        <w:spacing w:line="360" w:lineRule="auto"/>
        <w:rPr>
          <w:rFonts w:ascii="宋体" w:hAnsi="宋体" w:eastAsia="宋体" w:cs="宋体"/>
          <w:szCs w:val="21"/>
        </w:rPr>
      </w:pPr>
      <w:r>
        <w:rPr>
          <w:rFonts w:hint="eastAsia" w:ascii="宋体" w:hAnsi="宋体" w:eastAsia="宋体" w:cs="宋体"/>
          <w:szCs w:val="21"/>
        </w:rPr>
        <w:t xml:space="preserve"> 一、项目基本情况 </w:t>
      </w:r>
    </w:p>
    <w:p>
      <w:pPr>
        <w:spacing w:line="360" w:lineRule="auto"/>
        <w:rPr>
          <w:rFonts w:ascii="宋体" w:hAnsi="宋体" w:eastAsia="宋体" w:cs="宋体"/>
          <w:szCs w:val="21"/>
        </w:rPr>
      </w:pPr>
      <w:r>
        <w:rPr>
          <w:rFonts w:hint="eastAsia" w:ascii="宋体" w:hAnsi="宋体" w:eastAsia="宋体" w:cs="宋体"/>
          <w:szCs w:val="21"/>
        </w:rPr>
        <w:t xml:space="preserve">1、项目编号：豫财招标采购-2022-621 </w:t>
      </w:r>
    </w:p>
    <w:p>
      <w:pPr>
        <w:spacing w:line="360" w:lineRule="auto"/>
        <w:rPr>
          <w:rFonts w:ascii="宋体" w:hAnsi="宋体" w:eastAsia="宋体" w:cs="宋体"/>
          <w:szCs w:val="21"/>
        </w:rPr>
      </w:pPr>
      <w:r>
        <w:rPr>
          <w:rFonts w:hint="eastAsia" w:ascii="宋体" w:hAnsi="宋体" w:eastAsia="宋体" w:cs="宋体"/>
          <w:szCs w:val="21"/>
        </w:rPr>
        <w:t xml:space="preserve">2、项目名称：郑州铁路职业技术学院列车牵引控制系统综合应用实训室（国家双高计划建设项目）项目 </w:t>
      </w:r>
    </w:p>
    <w:p>
      <w:pPr>
        <w:spacing w:line="360" w:lineRule="auto"/>
        <w:rPr>
          <w:rFonts w:ascii="宋体" w:hAnsi="宋体" w:eastAsia="宋体" w:cs="宋体"/>
          <w:szCs w:val="21"/>
        </w:rPr>
      </w:pPr>
      <w:r>
        <w:rPr>
          <w:rFonts w:hint="eastAsia" w:ascii="宋体" w:hAnsi="宋体" w:eastAsia="宋体" w:cs="宋体"/>
          <w:szCs w:val="21"/>
        </w:rPr>
        <w:t xml:space="preserve">3、采购方式：公开招标 </w:t>
      </w:r>
    </w:p>
    <w:p>
      <w:pPr>
        <w:spacing w:line="360" w:lineRule="auto"/>
        <w:rPr>
          <w:rFonts w:ascii="宋体" w:hAnsi="宋体" w:eastAsia="宋体" w:cs="宋体"/>
          <w:szCs w:val="21"/>
        </w:rPr>
      </w:pPr>
      <w:r>
        <w:rPr>
          <w:rFonts w:hint="eastAsia" w:ascii="宋体" w:hAnsi="宋体" w:eastAsia="宋体" w:cs="宋体"/>
          <w:szCs w:val="21"/>
        </w:rPr>
        <w:t xml:space="preserve">4、预算金额：2,940,000.00元 </w:t>
      </w:r>
    </w:p>
    <w:p>
      <w:pPr>
        <w:spacing w:line="360" w:lineRule="auto"/>
        <w:rPr>
          <w:rFonts w:ascii="宋体" w:hAnsi="宋体" w:eastAsia="宋体" w:cs="宋体"/>
          <w:szCs w:val="21"/>
        </w:rPr>
      </w:pPr>
      <w:r>
        <w:rPr>
          <w:rFonts w:hint="eastAsia" w:ascii="宋体" w:hAnsi="宋体" w:eastAsia="宋体" w:cs="宋体"/>
          <w:szCs w:val="21"/>
        </w:rPr>
        <w:t xml:space="preserve">最高限价：2820000元  </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294"/>
        <w:gridCol w:w="2850"/>
        <w:gridCol w:w="1556"/>
        <w:gridCol w:w="2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vAlign w:val="center"/>
          </w:tcPr>
          <w:p>
            <w:pPr>
              <w:spacing w:line="360" w:lineRule="auto"/>
              <w:jc w:val="center"/>
              <w:rPr>
                <w:rFonts w:ascii="宋体" w:hAnsi="宋体" w:eastAsia="宋体" w:cs="宋体"/>
                <w:szCs w:val="21"/>
              </w:rPr>
            </w:pPr>
            <w:r>
              <w:rPr>
                <w:rFonts w:hint="eastAsia" w:ascii="宋体" w:hAnsi="宋体" w:eastAsia="宋体" w:cs="宋体"/>
                <w:szCs w:val="21"/>
              </w:rPr>
              <w:t>序号</w:t>
            </w:r>
          </w:p>
        </w:tc>
        <w:tc>
          <w:tcPr>
            <w:tcW w:w="1294" w:type="dxa"/>
            <w:vAlign w:val="center"/>
          </w:tcPr>
          <w:p>
            <w:pPr>
              <w:spacing w:line="360" w:lineRule="auto"/>
              <w:jc w:val="center"/>
              <w:rPr>
                <w:rFonts w:ascii="宋体" w:hAnsi="宋体" w:eastAsia="宋体" w:cs="宋体"/>
                <w:szCs w:val="21"/>
              </w:rPr>
            </w:pPr>
            <w:r>
              <w:rPr>
                <w:rFonts w:hint="eastAsia" w:ascii="宋体" w:hAnsi="宋体" w:eastAsia="宋体" w:cs="宋体"/>
                <w:szCs w:val="21"/>
              </w:rPr>
              <w:t>包号</w:t>
            </w:r>
          </w:p>
        </w:tc>
        <w:tc>
          <w:tcPr>
            <w:tcW w:w="2850" w:type="dxa"/>
            <w:vAlign w:val="center"/>
          </w:tcPr>
          <w:p>
            <w:pPr>
              <w:spacing w:line="360" w:lineRule="auto"/>
              <w:jc w:val="center"/>
              <w:rPr>
                <w:rFonts w:ascii="宋体" w:hAnsi="宋体" w:eastAsia="宋体" w:cs="宋体"/>
                <w:szCs w:val="21"/>
              </w:rPr>
            </w:pPr>
            <w:r>
              <w:rPr>
                <w:rFonts w:hint="eastAsia" w:ascii="宋体" w:hAnsi="宋体" w:eastAsia="宋体" w:cs="宋体"/>
                <w:szCs w:val="21"/>
              </w:rPr>
              <w:t>包名称</w:t>
            </w:r>
          </w:p>
        </w:tc>
        <w:tc>
          <w:tcPr>
            <w:tcW w:w="1556" w:type="dxa"/>
            <w:vAlign w:val="center"/>
          </w:tcPr>
          <w:p>
            <w:pPr>
              <w:spacing w:line="360" w:lineRule="auto"/>
              <w:jc w:val="center"/>
              <w:rPr>
                <w:rFonts w:ascii="宋体" w:hAnsi="宋体" w:eastAsia="宋体" w:cs="宋体"/>
                <w:szCs w:val="21"/>
              </w:rPr>
            </w:pPr>
            <w:r>
              <w:rPr>
                <w:rFonts w:hint="eastAsia" w:ascii="宋体" w:hAnsi="宋体" w:eastAsia="宋体" w:cs="宋体"/>
                <w:szCs w:val="21"/>
              </w:rPr>
              <w:t>包预算（元）</w:t>
            </w:r>
          </w:p>
        </w:tc>
        <w:tc>
          <w:tcPr>
            <w:tcW w:w="2076" w:type="dxa"/>
            <w:vAlign w:val="center"/>
          </w:tcPr>
          <w:p>
            <w:pPr>
              <w:spacing w:line="360" w:lineRule="auto"/>
              <w:jc w:val="center"/>
              <w:rPr>
                <w:rFonts w:ascii="宋体" w:hAnsi="宋体" w:eastAsia="宋体" w:cs="宋体"/>
                <w:szCs w:val="21"/>
              </w:rPr>
            </w:pPr>
            <w:r>
              <w:rPr>
                <w:rFonts w:hint="eastAsia" w:ascii="宋体" w:hAnsi="宋体" w:eastAsia="宋体" w:cs="宋体"/>
                <w:szCs w:val="21"/>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vAlign w:val="center"/>
          </w:tcPr>
          <w:p>
            <w:pPr>
              <w:spacing w:line="360" w:lineRule="auto"/>
              <w:jc w:val="center"/>
              <w:rPr>
                <w:rFonts w:ascii="宋体" w:hAnsi="宋体" w:eastAsia="宋体" w:cs="宋体"/>
                <w:szCs w:val="21"/>
              </w:rPr>
            </w:pPr>
            <w:r>
              <w:rPr>
                <w:rFonts w:hint="eastAsia" w:ascii="宋体" w:hAnsi="宋体" w:eastAsia="宋体" w:cs="宋体"/>
                <w:szCs w:val="21"/>
              </w:rPr>
              <w:t>1</w:t>
            </w:r>
          </w:p>
        </w:tc>
        <w:tc>
          <w:tcPr>
            <w:tcW w:w="1294" w:type="dxa"/>
            <w:vAlign w:val="center"/>
          </w:tcPr>
          <w:p>
            <w:pPr>
              <w:spacing w:line="360" w:lineRule="auto"/>
              <w:jc w:val="center"/>
              <w:rPr>
                <w:rFonts w:ascii="宋体" w:hAnsi="宋体" w:eastAsia="宋体" w:cs="宋体"/>
                <w:szCs w:val="21"/>
              </w:rPr>
            </w:pPr>
            <w:r>
              <w:rPr>
                <w:rFonts w:hint="eastAsia" w:ascii="宋体" w:hAnsi="宋体" w:eastAsia="宋体" w:cs="宋体"/>
                <w:szCs w:val="21"/>
              </w:rPr>
              <w:t>豫政采(2)20221002-1</w:t>
            </w:r>
          </w:p>
        </w:tc>
        <w:tc>
          <w:tcPr>
            <w:tcW w:w="2850" w:type="dxa"/>
            <w:vAlign w:val="center"/>
          </w:tcPr>
          <w:p>
            <w:pPr>
              <w:spacing w:line="360" w:lineRule="auto"/>
              <w:jc w:val="center"/>
              <w:rPr>
                <w:rFonts w:ascii="宋体" w:hAnsi="宋体" w:eastAsia="宋体" w:cs="宋体"/>
                <w:szCs w:val="21"/>
              </w:rPr>
            </w:pPr>
            <w:r>
              <w:rPr>
                <w:rFonts w:hint="eastAsia" w:ascii="宋体" w:hAnsi="宋体" w:eastAsia="宋体" w:cs="宋体"/>
                <w:szCs w:val="21"/>
              </w:rPr>
              <w:t>郑州铁路职业技术学院列车牵引控制系统综合应用实训室（国家双高计划建设项目）项目</w:t>
            </w:r>
          </w:p>
        </w:tc>
        <w:tc>
          <w:tcPr>
            <w:tcW w:w="1556" w:type="dxa"/>
            <w:vAlign w:val="center"/>
          </w:tcPr>
          <w:p>
            <w:pPr>
              <w:spacing w:line="360" w:lineRule="auto"/>
              <w:jc w:val="center"/>
              <w:rPr>
                <w:rFonts w:ascii="宋体" w:hAnsi="宋体" w:eastAsia="宋体" w:cs="宋体"/>
                <w:szCs w:val="21"/>
              </w:rPr>
            </w:pPr>
            <w:r>
              <w:rPr>
                <w:rFonts w:hint="eastAsia" w:ascii="宋体" w:hAnsi="宋体" w:eastAsia="宋体" w:cs="宋体"/>
                <w:szCs w:val="21"/>
              </w:rPr>
              <w:t>2940000</w:t>
            </w:r>
          </w:p>
        </w:tc>
        <w:tc>
          <w:tcPr>
            <w:tcW w:w="2076" w:type="dxa"/>
            <w:vAlign w:val="center"/>
          </w:tcPr>
          <w:p>
            <w:pPr>
              <w:spacing w:line="360" w:lineRule="auto"/>
              <w:jc w:val="center"/>
              <w:rPr>
                <w:rFonts w:ascii="宋体" w:hAnsi="宋体" w:eastAsia="宋体" w:cs="宋体"/>
                <w:szCs w:val="21"/>
              </w:rPr>
            </w:pPr>
          </w:p>
          <w:p>
            <w:pPr>
              <w:spacing w:line="360" w:lineRule="auto"/>
              <w:jc w:val="center"/>
              <w:rPr>
                <w:rFonts w:ascii="宋体" w:hAnsi="宋体" w:eastAsia="宋体" w:cs="宋体"/>
                <w:szCs w:val="21"/>
              </w:rPr>
            </w:pPr>
            <w:r>
              <w:rPr>
                <w:rFonts w:hint="eastAsia" w:ascii="宋体" w:hAnsi="宋体" w:eastAsia="宋体" w:cs="宋体"/>
                <w:szCs w:val="21"/>
              </w:rPr>
              <w:t>2820000</w:t>
            </w:r>
          </w:p>
          <w:p>
            <w:pPr>
              <w:spacing w:line="360" w:lineRule="auto"/>
              <w:jc w:val="center"/>
              <w:rPr>
                <w:rFonts w:ascii="宋体" w:hAnsi="宋体" w:eastAsia="宋体" w:cs="宋体"/>
                <w:szCs w:val="21"/>
              </w:rPr>
            </w:pPr>
          </w:p>
        </w:tc>
      </w:tr>
    </w:tbl>
    <w:p>
      <w:pPr>
        <w:spacing w:line="360" w:lineRule="auto"/>
        <w:rPr>
          <w:rFonts w:ascii="宋体" w:hAnsi="宋体" w:eastAsia="宋体" w:cs="宋体"/>
          <w:szCs w:val="21"/>
        </w:rPr>
      </w:pPr>
      <w:r>
        <w:rPr>
          <w:rFonts w:hint="eastAsia" w:ascii="宋体" w:hAnsi="宋体" w:eastAsia="宋体" w:cs="宋体"/>
          <w:szCs w:val="21"/>
        </w:rPr>
        <w:t xml:space="preserve">5、采购需求（包括但不限于标的的名称、数量、简要技术需求或服务要求等） </w:t>
      </w:r>
    </w:p>
    <w:p>
      <w:pPr>
        <w:spacing w:line="360" w:lineRule="auto"/>
        <w:rPr>
          <w:rFonts w:ascii="宋体" w:hAnsi="宋体" w:eastAsia="宋体" w:cs="宋体"/>
          <w:szCs w:val="21"/>
        </w:rPr>
      </w:pPr>
      <w:r>
        <w:rPr>
          <w:rFonts w:hint="eastAsia" w:ascii="宋体" w:hAnsi="宋体" w:eastAsia="宋体" w:cs="宋体"/>
          <w:szCs w:val="21"/>
        </w:rPr>
        <w:t>5.1采购需求简介：</w:t>
      </w:r>
    </w:p>
    <w:tbl>
      <w:tblPr>
        <w:tblStyle w:val="29"/>
        <w:tblW w:w="8288" w:type="dxa"/>
        <w:tblInd w:w="0" w:type="dxa"/>
        <w:tblBorders>
          <w:top w:val="single" w:color="DDDDDD" w:sz="4" w:space="0"/>
          <w:left w:val="single" w:color="DDDDDD" w:sz="4" w:space="0"/>
          <w:bottom w:val="single" w:color="DDDDDD" w:sz="4" w:space="0"/>
          <w:right w:val="single" w:color="DDDDDD" w:sz="4" w:space="0"/>
          <w:insideH w:val="none" w:color="auto" w:sz="0" w:space="0"/>
          <w:insideV w:val="none" w:color="auto" w:sz="0" w:space="0"/>
        </w:tblBorders>
        <w:tblLayout w:type="autofit"/>
        <w:tblCellMar>
          <w:top w:w="15" w:type="dxa"/>
          <w:left w:w="15" w:type="dxa"/>
          <w:bottom w:w="15" w:type="dxa"/>
          <w:right w:w="15" w:type="dxa"/>
        </w:tblCellMar>
      </w:tblPr>
      <w:tblGrid>
        <w:gridCol w:w="1425"/>
        <w:gridCol w:w="3103"/>
        <w:gridCol w:w="1382"/>
        <w:gridCol w:w="2378"/>
      </w:tblGrid>
      <w:tr>
        <w:tblPrEx>
          <w:tblBorders>
            <w:top w:val="single" w:color="DDDDDD" w:sz="4" w:space="0"/>
            <w:left w:val="single" w:color="DDDDDD" w:sz="4" w:space="0"/>
            <w:bottom w:val="single" w:color="DDDDDD" w:sz="4" w:space="0"/>
            <w:right w:val="single" w:color="DDDDDD" w:sz="4"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1425" w:type="dxa"/>
            <w:tcBorders>
              <w:top w:val="single" w:color="DDDDDD" w:sz="4" w:space="0"/>
              <w:left w:val="single" w:color="DDDDDD" w:sz="4" w:space="0"/>
              <w:bottom w:val="single" w:color="DDDDDD" w:sz="4" w:space="0"/>
              <w:right w:val="single" w:color="DDDDDD" w:sz="4" w:space="0"/>
            </w:tcBorders>
            <w:shd w:val="clear" w:color="auto" w:fill="F4F4F4"/>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b/>
                <w:bCs/>
                <w:color w:val="333333"/>
                <w:kern w:val="0"/>
                <w:szCs w:val="21"/>
              </w:rPr>
            </w:pPr>
            <w:r>
              <w:rPr>
                <w:rFonts w:hint="eastAsia" w:ascii="宋体" w:hAnsi="宋体" w:eastAsia="宋体" w:cs="宋体"/>
                <w:b/>
                <w:bCs/>
                <w:color w:val="333333"/>
                <w:kern w:val="0"/>
                <w:szCs w:val="21"/>
              </w:rPr>
              <w:t>序号</w:t>
            </w:r>
          </w:p>
        </w:tc>
        <w:tc>
          <w:tcPr>
            <w:tcW w:w="3103" w:type="dxa"/>
            <w:tcBorders>
              <w:top w:val="single" w:color="DDDDDD" w:sz="4" w:space="0"/>
              <w:left w:val="single" w:color="DDDDDD" w:sz="4" w:space="0"/>
              <w:bottom w:val="single" w:color="DDDDDD" w:sz="4" w:space="0"/>
              <w:right w:val="single" w:color="DDDDDD" w:sz="4" w:space="0"/>
            </w:tcBorders>
            <w:shd w:val="clear" w:color="auto" w:fill="F4F4F4"/>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b/>
                <w:bCs/>
                <w:color w:val="333333"/>
                <w:szCs w:val="21"/>
              </w:rPr>
            </w:pPr>
            <w:r>
              <w:rPr>
                <w:rFonts w:hint="eastAsia" w:asciiTheme="minorEastAsia" w:hAnsiTheme="minorEastAsia" w:eastAsiaTheme="minorEastAsia" w:cstheme="minorEastAsia"/>
                <w:b/>
                <w:bCs/>
                <w:color w:val="333333"/>
                <w:kern w:val="0"/>
                <w:szCs w:val="21"/>
              </w:rPr>
              <w:t>采购物品名称</w:t>
            </w:r>
          </w:p>
        </w:tc>
        <w:tc>
          <w:tcPr>
            <w:tcW w:w="1382" w:type="dxa"/>
            <w:tcBorders>
              <w:top w:val="single" w:color="DDDDDD" w:sz="4" w:space="0"/>
              <w:left w:val="single" w:color="DDDDDD" w:sz="4" w:space="0"/>
              <w:bottom w:val="single" w:color="DDDDDD" w:sz="4" w:space="0"/>
              <w:right w:val="single" w:color="DDDDDD" w:sz="4" w:space="0"/>
            </w:tcBorders>
            <w:shd w:val="clear" w:color="auto" w:fill="F4F4F4"/>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b/>
                <w:bCs/>
                <w:color w:val="333333"/>
                <w:szCs w:val="21"/>
              </w:rPr>
            </w:pPr>
            <w:r>
              <w:rPr>
                <w:rFonts w:hint="eastAsia" w:asciiTheme="minorEastAsia" w:hAnsiTheme="minorEastAsia" w:eastAsiaTheme="minorEastAsia" w:cstheme="minorEastAsia"/>
                <w:b/>
                <w:bCs/>
                <w:color w:val="333333"/>
                <w:kern w:val="0"/>
                <w:szCs w:val="21"/>
              </w:rPr>
              <w:t>数量</w:t>
            </w:r>
          </w:p>
        </w:tc>
        <w:tc>
          <w:tcPr>
            <w:tcW w:w="2378" w:type="dxa"/>
            <w:tcBorders>
              <w:top w:val="single" w:color="DDDDDD" w:sz="4" w:space="0"/>
              <w:left w:val="single" w:color="DDDDDD" w:sz="4" w:space="0"/>
              <w:bottom w:val="single" w:color="DDDDDD" w:sz="4" w:space="0"/>
              <w:right w:val="single" w:color="DDDDDD" w:sz="4" w:space="0"/>
            </w:tcBorders>
            <w:shd w:val="clear" w:color="auto" w:fill="F4F4F4"/>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b/>
                <w:bCs/>
                <w:color w:val="333333"/>
                <w:szCs w:val="21"/>
              </w:rPr>
            </w:pPr>
            <w:r>
              <w:rPr>
                <w:rFonts w:hint="eastAsia" w:asciiTheme="minorEastAsia" w:hAnsiTheme="minorEastAsia" w:eastAsiaTheme="minorEastAsia" w:cstheme="minorEastAsia"/>
                <w:b/>
                <w:bCs/>
                <w:color w:val="333333"/>
                <w:kern w:val="0"/>
                <w:szCs w:val="21"/>
              </w:rPr>
              <w:t>计量单位</w:t>
            </w:r>
          </w:p>
        </w:tc>
      </w:tr>
      <w:tr>
        <w:tblPrEx>
          <w:tblBorders>
            <w:top w:val="single" w:color="DDDDDD" w:sz="4" w:space="0"/>
            <w:left w:val="single" w:color="DDDDDD" w:sz="4" w:space="0"/>
            <w:bottom w:val="single" w:color="DDDDDD" w:sz="4" w:space="0"/>
            <w:right w:val="single" w:color="DDDDDD" w:sz="4"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1425"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kern w:val="0"/>
                <w:szCs w:val="21"/>
              </w:rPr>
            </w:pPr>
            <w:r>
              <w:rPr>
                <w:rFonts w:hint="eastAsia" w:asciiTheme="minorEastAsia" w:hAnsiTheme="minorEastAsia" w:cstheme="minorEastAsia"/>
                <w:color w:val="333333"/>
                <w:kern w:val="0"/>
                <w:szCs w:val="21"/>
              </w:rPr>
              <w:t>1</w:t>
            </w:r>
          </w:p>
        </w:tc>
        <w:tc>
          <w:tcPr>
            <w:tcW w:w="3103"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列车牵引控制台</w:t>
            </w:r>
          </w:p>
        </w:tc>
        <w:tc>
          <w:tcPr>
            <w:tcW w:w="1382"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3</w:t>
            </w:r>
          </w:p>
        </w:tc>
        <w:tc>
          <w:tcPr>
            <w:tcW w:w="2378"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台</w:t>
            </w:r>
          </w:p>
        </w:tc>
      </w:tr>
      <w:tr>
        <w:tblPrEx>
          <w:tblBorders>
            <w:top w:val="single" w:color="DDDDDD" w:sz="4" w:space="0"/>
            <w:left w:val="single" w:color="DDDDDD" w:sz="4" w:space="0"/>
            <w:bottom w:val="single" w:color="DDDDDD" w:sz="4" w:space="0"/>
            <w:right w:val="single" w:color="DDDDDD" w:sz="4"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1425"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kern w:val="0"/>
                <w:szCs w:val="21"/>
              </w:rPr>
            </w:pPr>
            <w:r>
              <w:rPr>
                <w:rFonts w:hint="eastAsia" w:asciiTheme="minorEastAsia" w:hAnsiTheme="minorEastAsia" w:cstheme="minorEastAsia"/>
                <w:color w:val="333333"/>
                <w:kern w:val="0"/>
                <w:szCs w:val="21"/>
              </w:rPr>
              <w:t>2</w:t>
            </w:r>
          </w:p>
        </w:tc>
        <w:tc>
          <w:tcPr>
            <w:tcW w:w="3103"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CCBII空气制动控制仿真单元</w:t>
            </w:r>
          </w:p>
        </w:tc>
        <w:tc>
          <w:tcPr>
            <w:tcW w:w="1382"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3</w:t>
            </w:r>
          </w:p>
        </w:tc>
        <w:tc>
          <w:tcPr>
            <w:tcW w:w="2378"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套</w:t>
            </w:r>
          </w:p>
        </w:tc>
      </w:tr>
      <w:tr>
        <w:tblPrEx>
          <w:tblBorders>
            <w:top w:val="single" w:color="DDDDDD" w:sz="4" w:space="0"/>
            <w:left w:val="single" w:color="DDDDDD" w:sz="4" w:space="0"/>
            <w:bottom w:val="single" w:color="DDDDDD" w:sz="4" w:space="0"/>
            <w:right w:val="single" w:color="DDDDDD" w:sz="4"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1425"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kern w:val="0"/>
                <w:szCs w:val="21"/>
              </w:rPr>
            </w:pPr>
            <w:r>
              <w:rPr>
                <w:rFonts w:hint="eastAsia" w:asciiTheme="minorEastAsia" w:hAnsiTheme="minorEastAsia" w:cstheme="minorEastAsia"/>
                <w:color w:val="333333"/>
                <w:kern w:val="0"/>
                <w:szCs w:val="21"/>
              </w:rPr>
              <w:t>3</w:t>
            </w:r>
          </w:p>
        </w:tc>
        <w:tc>
          <w:tcPr>
            <w:tcW w:w="3103"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低压电气控制仿真单元</w:t>
            </w:r>
          </w:p>
        </w:tc>
        <w:tc>
          <w:tcPr>
            <w:tcW w:w="1382"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3</w:t>
            </w:r>
          </w:p>
        </w:tc>
        <w:tc>
          <w:tcPr>
            <w:tcW w:w="2378"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套</w:t>
            </w:r>
          </w:p>
        </w:tc>
      </w:tr>
      <w:tr>
        <w:tblPrEx>
          <w:tblBorders>
            <w:top w:val="single" w:color="DDDDDD" w:sz="4" w:space="0"/>
            <w:left w:val="single" w:color="DDDDDD" w:sz="4" w:space="0"/>
            <w:bottom w:val="single" w:color="DDDDDD" w:sz="4" w:space="0"/>
            <w:right w:val="single" w:color="DDDDDD" w:sz="4"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1425"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kern w:val="0"/>
                <w:szCs w:val="21"/>
              </w:rPr>
            </w:pPr>
            <w:r>
              <w:rPr>
                <w:rFonts w:hint="eastAsia" w:asciiTheme="minorEastAsia" w:hAnsiTheme="minorEastAsia" w:cstheme="minorEastAsia"/>
                <w:color w:val="333333"/>
                <w:kern w:val="0"/>
                <w:szCs w:val="21"/>
              </w:rPr>
              <w:t>4</w:t>
            </w:r>
          </w:p>
        </w:tc>
        <w:tc>
          <w:tcPr>
            <w:tcW w:w="3103"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PLC编程单元</w:t>
            </w:r>
          </w:p>
        </w:tc>
        <w:tc>
          <w:tcPr>
            <w:tcW w:w="1382"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3</w:t>
            </w:r>
          </w:p>
        </w:tc>
        <w:tc>
          <w:tcPr>
            <w:tcW w:w="2378"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套</w:t>
            </w:r>
          </w:p>
        </w:tc>
      </w:tr>
      <w:tr>
        <w:tblPrEx>
          <w:tblBorders>
            <w:top w:val="single" w:color="DDDDDD" w:sz="4" w:space="0"/>
            <w:left w:val="single" w:color="DDDDDD" w:sz="4" w:space="0"/>
            <w:bottom w:val="single" w:color="DDDDDD" w:sz="4" w:space="0"/>
            <w:right w:val="single" w:color="DDDDDD" w:sz="4"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1425"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kern w:val="0"/>
                <w:szCs w:val="21"/>
              </w:rPr>
            </w:pPr>
            <w:r>
              <w:rPr>
                <w:rFonts w:hint="eastAsia" w:asciiTheme="minorEastAsia" w:hAnsiTheme="minorEastAsia" w:cstheme="minorEastAsia"/>
                <w:color w:val="333333"/>
                <w:kern w:val="0"/>
                <w:szCs w:val="21"/>
              </w:rPr>
              <w:t>5</w:t>
            </w:r>
          </w:p>
        </w:tc>
        <w:tc>
          <w:tcPr>
            <w:tcW w:w="3103"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HXD3C机车模拟实训台</w:t>
            </w:r>
          </w:p>
        </w:tc>
        <w:tc>
          <w:tcPr>
            <w:tcW w:w="1382"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3</w:t>
            </w:r>
          </w:p>
        </w:tc>
        <w:tc>
          <w:tcPr>
            <w:tcW w:w="2378"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台</w:t>
            </w:r>
          </w:p>
        </w:tc>
      </w:tr>
      <w:tr>
        <w:tblPrEx>
          <w:tblBorders>
            <w:top w:val="single" w:color="DDDDDD" w:sz="4" w:space="0"/>
            <w:left w:val="single" w:color="DDDDDD" w:sz="4" w:space="0"/>
            <w:bottom w:val="single" w:color="DDDDDD" w:sz="4" w:space="0"/>
            <w:right w:val="single" w:color="DDDDDD" w:sz="4"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1425"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kern w:val="0"/>
                <w:szCs w:val="21"/>
              </w:rPr>
            </w:pPr>
            <w:r>
              <w:rPr>
                <w:rFonts w:hint="eastAsia" w:asciiTheme="minorEastAsia" w:hAnsiTheme="minorEastAsia" w:cstheme="minorEastAsia"/>
                <w:color w:val="333333"/>
                <w:kern w:val="0"/>
                <w:szCs w:val="21"/>
              </w:rPr>
              <w:t>6</w:t>
            </w:r>
          </w:p>
        </w:tc>
        <w:tc>
          <w:tcPr>
            <w:tcW w:w="3103"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司机控制器</w:t>
            </w:r>
          </w:p>
        </w:tc>
        <w:tc>
          <w:tcPr>
            <w:tcW w:w="1382"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3</w:t>
            </w:r>
          </w:p>
        </w:tc>
        <w:tc>
          <w:tcPr>
            <w:tcW w:w="2378"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套</w:t>
            </w:r>
          </w:p>
        </w:tc>
      </w:tr>
      <w:tr>
        <w:tblPrEx>
          <w:tblBorders>
            <w:top w:val="single" w:color="DDDDDD" w:sz="4" w:space="0"/>
            <w:left w:val="single" w:color="DDDDDD" w:sz="4" w:space="0"/>
            <w:bottom w:val="single" w:color="DDDDDD" w:sz="4" w:space="0"/>
            <w:right w:val="single" w:color="DDDDDD" w:sz="4"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1425"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kern w:val="0"/>
                <w:szCs w:val="21"/>
              </w:rPr>
            </w:pPr>
            <w:r>
              <w:rPr>
                <w:rFonts w:hint="eastAsia" w:asciiTheme="minorEastAsia" w:hAnsiTheme="minorEastAsia" w:cstheme="minorEastAsia"/>
                <w:color w:val="333333"/>
                <w:kern w:val="0"/>
                <w:szCs w:val="21"/>
              </w:rPr>
              <w:t>7</w:t>
            </w:r>
          </w:p>
        </w:tc>
        <w:tc>
          <w:tcPr>
            <w:tcW w:w="3103"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制动控制器</w:t>
            </w:r>
          </w:p>
        </w:tc>
        <w:tc>
          <w:tcPr>
            <w:tcW w:w="1382"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3</w:t>
            </w:r>
          </w:p>
        </w:tc>
        <w:tc>
          <w:tcPr>
            <w:tcW w:w="2378"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套</w:t>
            </w:r>
          </w:p>
        </w:tc>
      </w:tr>
      <w:tr>
        <w:tblPrEx>
          <w:tblBorders>
            <w:top w:val="single" w:color="DDDDDD" w:sz="4" w:space="0"/>
            <w:left w:val="single" w:color="DDDDDD" w:sz="4" w:space="0"/>
            <w:bottom w:val="single" w:color="DDDDDD" w:sz="4" w:space="0"/>
            <w:right w:val="single" w:color="DDDDDD" w:sz="4"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1425"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kern w:val="0"/>
                <w:szCs w:val="21"/>
              </w:rPr>
            </w:pPr>
            <w:r>
              <w:rPr>
                <w:rFonts w:hint="eastAsia" w:asciiTheme="minorEastAsia" w:hAnsiTheme="minorEastAsia" w:cstheme="minorEastAsia"/>
                <w:color w:val="333333"/>
                <w:kern w:val="0"/>
                <w:szCs w:val="21"/>
              </w:rPr>
              <w:t>8</w:t>
            </w:r>
          </w:p>
        </w:tc>
        <w:tc>
          <w:tcPr>
            <w:tcW w:w="3103"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制动显示屏仿真模块</w:t>
            </w:r>
          </w:p>
        </w:tc>
        <w:tc>
          <w:tcPr>
            <w:tcW w:w="1382"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3</w:t>
            </w:r>
          </w:p>
        </w:tc>
        <w:tc>
          <w:tcPr>
            <w:tcW w:w="2378"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套</w:t>
            </w:r>
          </w:p>
        </w:tc>
      </w:tr>
      <w:tr>
        <w:tblPrEx>
          <w:tblBorders>
            <w:top w:val="single" w:color="DDDDDD" w:sz="4" w:space="0"/>
            <w:left w:val="single" w:color="DDDDDD" w:sz="4" w:space="0"/>
            <w:bottom w:val="single" w:color="DDDDDD" w:sz="4" w:space="0"/>
            <w:right w:val="single" w:color="DDDDDD" w:sz="4"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1425"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kern w:val="0"/>
                <w:szCs w:val="21"/>
              </w:rPr>
            </w:pPr>
            <w:r>
              <w:rPr>
                <w:rFonts w:hint="eastAsia" w:asciiTheme="minorEastAsia" w:hAnsiTheme="minorEastAsia" w:cstheme="minorEastAsia"/>
                <w:color w:val="333333"/>
                <w:kern w:val="0"/>
                <w:szCs w:val="21"/>
              </w:rPr>
              <w:t>9</w:t>
            </w:r>
          </w:p>
        </w:tc>
        <w:tc>
          <w:tcPr>
            <w:tcW w:w="3103"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多功能状态仪表组合模块</w:t>
            </w:r>
          </w:p>
        </w:tc>
        <w:tc>
          <w:tcPr>
            <w:tcW w:w="1382"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3</w:t>
            </w:r>
          </w:p>
        </w:tc>
        <w:tc>
          <w:tcPr>
            <w:tcW w:w="2378"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套</w:t>
            </w:r>
          </w:p>
        </w:tc>
      </w:tr>
      <w:tr>
        <w:tblPrEx>
          <w:tblBorders>
            <w:top w:val="single" w:color="DDDDDD" w:sz="4" w:space="0"/>
            <w:left w:val="single" w:color="DDDDDD" w:sz="4" w:space="0"/>
            <w:bottom w:val="single" w:color="DDDDDD" w:sz="4" w:space="0"/>
            <w:right w:val="single" w:color="DDDDDD" w:sz="4"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1425"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kern w:val="0"/>
                <w:szCs w:val="21"/>
              </w:rPr>
            </w:pPr>
            <w:r>
              <w:rPr>
                <w:rFonts w:hint="eastAsia" w:asciiTheme="minorEastAsia" w:hAnsiTheme="minorEastAsia" w:cstheme="minorEastAsia"/>
                <w:color w:val="333333"/>
                <w:kern w:val="0"/>
                <w:szCs w:val="21"/>
              </w:rPr>
              <w:t>10</w:t>
            </w:r>
          </w:p>
        </w:tc>
        <w:tc>
          <w:tcPr>
            <w:tcW w:w="3103"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机车状态显示屏</w:t>
            </w:r>
          </w:p>
        </w:tc>
        <w:tc>
          <w:tcPr>
            <w:tcW w:w="1382"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3</w:t>
            </w:r>
          </w:p>
        </w:tc>
        <w:tc>
          <w:tcPr>
            <w:tcW w:w="2378"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台</w:t>
            </w:r>
          </w:p>
        </w:tc>
      </w:tr>
      <w:tr>
        <w:tblPrEx>
          <w:tblBorders>
            <w:top w:val="single" w:color="DDDDDD" w:sz="4" w:space="0"/>
            <w:left w:val="single" w:color="DDDDDD" w:sz="4" w:space="0"/>
            <w:bottom w:val="single" w:color="DDDDDD" w:sz="4" w:space="0"/>
            <w:right w:val="single" w:color="DDDDDD" w:sz="4"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1425"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kern w:val="0"/>
                <w:szCs w:val="21"/>
              </w:rPr>
            </w:pPr>
            <w:r>
              <w:rPr>
                <w:rFonts w:hint="eastAsia" w:asciiTheme="minorEastAsia" w:hAnsiTheme="minorEastAsia" w:cstheme="minorEastAsia"/>
                <w:color w:val="333333"/>
                <w:kern w:val="0"/>
                <w:szCs w:val="21"/>
              </w:rPr>
              <w:t>11</w:t>
            </w:r>
          </w:p>
        </w:tc>
        <w:tc>
          <w:tcPr>
            <w:tcW w:w="3103"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CIR电台仿真模块</w:t>
            </w:r>
          </w:p>
        </w:tc>
        <w:tc>
          <w:tcPr>
            <w:tcW w:w="1382"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3</w:t>
            </w:r>
          </w:p>
        </w:tc>
        <w:tc>
          <w:tcPr>
            <w:tcW w:w="2378"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套</w:t>
            </w:r>
          </w:p>
        </w:tc>
      </w:tr>
      <w:tr>
        <w:tblPrEx>
          <w:tblBorders>
            <w:top w:val="single" w:color="DDDDDD" w:sz="4" w:space="0"/>
            <w:left w:val="single" w:color="DDDDDD" w:sz="4" w:space="0"/>
            <w:bottom w:val="single" w:color="DDDDDD" w:sz="4" w:space="0"/>
            <w:right w:val="single" w:color="DDDDDD" w:sz="4"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1425"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kern w:val="0"/>
                <w:szCs w:val="21"/>
              </w:rPr>
            </w:pPr>
            <w:r>
              <w:rPr>
                <w:rFonts w:hint="eastAsia" w:asciiTheme="minorEastAsia" w:hAnsiTheme="minorEastAsia" w:cstheme="minorEastAsia"/>
                <w:color w:val="333333"/>
                <w:kern w:val="0"/>
                <w:szCs w:val="21"/>
              </w:rPr>
              <w:t>12</w:t>
            </w:r>
          </w:p>
        </w:tc>
        <w:tc>
          <w:tcPr>
            <w:tcW w:w="3103"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LKJ2000监控装置模拟模块</w:t>
            </w:r>
          </w:p>
        </w:tc>
        <w:tc>
          <w:tcPr>
            <w:tcW w:w="1382"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3</w:t>
            </w:r>
          </w:p>
        </w:tc>
        <w:tc>
          <w:tcPr>
            <w:tcW w:w="2378" w:type="dxa"/>
            <w:tcBorders>
              <w:top w:val="single" w:color="DDDDDD" w:sz="4" w:space="0"/>
              <w:left w:val="single" w:color="DDDDDD" w:sz="4" w:space="0"/>
              <w:bottom w:val="single" w:color="DDDDDD" w:sz="4" w:space="0"/>
              <w:right w:val="single" w:color="DDDDDD" w:sz="4" w:space="0"/>
            </w:tcBorders>
            <w:shd w:val="clear" w:color="auto" w:fill="auto"/>
            <w:tcMar>
              <w:top w:w="24" w:type="dxa"/>
              <w:left w:w="24" w:type="dxa"/>
              <w:bottom w:w="24" w:type="dxa"/>
              <w:right w:w="24" w:type="dxa"/>
            </w:tcMar>
            <w:vAlign w:val="center"/>
          </w:tcPr>
          <w:p>
            <w:pPr>
              <w:widowControl/>
              <w:wordWrap w:val="0"/>
              <w:spacing w:line="264" w:lineRule="atLeast"/>
              <w:jc w:val="center"/>
              <w:textAlignment w:val="center"/>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color w:val="333333"/>
                <w:kern w:val="0"/>
                <w:szCs w:val="21"/>
              </w:rPr>
              <w:t>套</w:t>
            </w:r>
          </w:p>
        </w:tc>
      </w:tr>
    </w:tbl>
    <w:p>
      <w:pPr>
        <w:spacing w:line="360" w:lineRule="auto"/>
        <w:rPr>
          <w:rFonts w:ascii="宋体" w:hAnsi="宋体" w:eastAsia="宋体" w:cs="宋体"/>
          <w:szCs w:val="21"/>
        </w:rPr>
      </w:pPr>
      <w:r>
        <w:rPr>
          <w:rFonts w:hint="eastAsia" w:ascii="宋体" w:hAnsi="宋体" w:eastAsia="宋体" w:cs="宋体"/>
          <w:szCs w:val="21"/>
        </w:rPr>
        <w:t>5.2交货期：合同签订后30个日历天内完成设备安装调试至正常使用状态。</w:t>
      </w:r>
    </w:p>
    <w:p>
      <w:pPr>
        <w:spacing w:line="360" w:lineRule="auto"/>
        <w:rPr>
          <w:rFonts w:ascii="宋体" w:hAnsi="宋体" w:eastAsia="宋体" w:cs="宋体"/>
          <w:szCs w:val="21"/>
        </w:rPr>
      </w:pPr>
      <w:r>
        <w:rPr>
          <w:rFonts w:hint="eastAsia" w:ascii="宋体" w:hAnsi="宋体" w:eastAsia="宋体" w:cs="宋体"/>
          <w:szCs w:val="21"/>
        </w:rPr>
        <w:t xml:space="preserve">5.3交货地点:郑州铁路职业技术学院指定地点 </w:t>
      </w:r>
    </w:p>
    <w:p>
      <w:pPr>
        <w:spacing w:line="360" w:lineRule="auto"/>
        <w:rPr>
          <w:rFonts w:ascii="宋体" w:hAnsi="宋体" w:eastAsia="宋体" w:cs="宋体"/>
          <w:szCs w:val="21"/>
        </w:rPr>
      </w:pPr>
      <w:r>
        <w:rPr>
          <w:rFonts w:hint="eastAsia" w:ascii="宋体" w:hAnsi="宋体" w:eastAsia="宋体" w:cs="宋体"/>
          <w:szCs w:val="21"/>
        </w:rPr>
        <w:t xml:space="preserve">6、合同履行期限：详见招标文件要求 </w:t>
      </w:r>
    </w:p>
    <w:p>
      <w:pPr>
        <w:spacing w:line="360" w:lineRule="auto"/>
        <w:rPr>
          <w:rFonts w:ascii="宋体" w:hAnsi="宋体" w:eastAsia="宋体" w:cs="宋体"/>
          <w:szCs w:val="21"/>
        </w:rPr>
      </w:pPr>
      <w:r>
        <w:rPr>
          <w:rFonts w:hint="eastAsia" w:ascii="宋体" w:hAnsi="宋体" w:eastAsia="宋体" w:cs="宋体"/>
          <w:szCs w:val="21"/>
        </w:rPr>
        <w:t xml:space="preserve">7、本项目是否接受联合体投标：否 </w:t>
      </w:r>
    </w:p>
    <w:p>
      <w:pPr>
        <w:spacing w:line="360" w:lineRule="auto"/>
        <w:rPr>
          <w:rFonts w:ascii="宋体" w:hAnsi="宋体" w:eastAsia="宋体" w:cs="宋体"/>
          <w:szCs w:val="21"/>
        </w:rPr>
      </w:pPr>
      <w:r>
        <w:rPr>
          <w:rFonts w:hint="eastAsia" w:ascii="宋体" w:hAnsi="宋体" w:eastAsia="宋体" w:cs="宋体"/>
          <w:szCs w:val="21"/>
        </w:rPr>
        <w:t xml:space="preserve">8、是否接受进口产品：否 </w:t>
      </w:r>
    </w:p>
    <w:p>
      <w:pPr>
        <w:spacing w:line="360" w:lineRule="auto"/>
        <w:rPr>
          <w:rFonts w:ascii="宋体" w:hAnsi="宋体" w:eastAsia="宋体" w:cs="宋体"/>
          <w:szCs w:val="21"/>
        </w:rPr>
      </w:pPr>
      <w:r>
        <w:rPr>
          <w:rFonts w:hint="eastAsia" w:ascii="宋体" w:hAnsi="宋体" w:eastAsia="宋体" w:cs="宋体"/>
          <w:szCs w:val="21"/>
        </w:rPr>
        <w:t xml:space="preserve">二、申请人资格要求： </w:t>
      </w:r>
    </w:p>
    <w:p>
      <w:pPr>
        <w:spacing w:line="360" w:lineRule="auto"/>
        <w:rPr>
          <w:rFonts w:ascii="宋体" w:hAnsi="宋体" w:eastAsia="宋体" w:cs="宋体"/>
          <w:szCs w:val="21"/>
        </w:rPr>
      </w:pPr>
      <w:r>
        <w:rPr>
          <w:rFonts w:hint="eastAsia" w:ascii="宋体" w:hAnsi="宋体" w:eastAsia="宋体" w:cs="宋体"/>
          <w:szCs w:val="21"/>
        </w:rPr>
        <w:t xml:space="preserve">1、满足《中华人民共和国政府采购法》第二十二条规定； </w:t>
      </w:r>
    </w:p>
    <w:p>
      <w:pPr>
        <w:spacing w:line="360" w:lineRule="auto"/>
        <w:rPr>
          <w:rFonts w:ascii="宋体" w:hAnsi="宋体" w:eastAsia="宋体" w:cs="宋体"/>
          <w:szCs w:val="21"/>
        </w:rPr>
      </w:pPr>
      <w:r>
        <w:rPr>
          <w:rFonts w:hint="eastAsia" w:ascii="宋体" w:hAnsi="宋体" w:eastAsia="宋体" w:cs="宋体"/>
          <w:szCs w:val="21"/>
        </w:rPr>
        <w:t xml:space="preserve">2、落实政府采购政策满足的资格要求： 无 </w:t>
      </w:r>
    </w:p>
    <w:p>
      <w:pPr>
        <w:spacing w:line="360" w:lineRule="auto"/>
        <w:rPr>
          <w:rFonts w:ascii="宋体" w:hAnsi="宋体" w:eastAsia="宋体" w:cs="宋体"/>
          <w:szCs w:val="21"/>
        </w:rPr>
      </w:pPr>
      <w:r>
        <w:rPr>
          <w:rFonts w:hint="eastAsia" w:ascii="宋体" w:hAnsi="宋体" w:eastAsia="宋体" w:cs="宋体"/>
          <w:szCs w:val="21"/>
        </w:rPr>
        <w:t xml:space="preserve">3、本项目的特定资格要求：无 </w:t>
      </w:r>
    </w:p>
    <w:p>
      <w:pPr>
        <w:spacing w:line="360" w:lineRule="auto"/>
        <w:rPr>
          <w:rFonts w:ascii="宋体" w:hAnsi="宋体" w:eastAsia="宋体" w:cs="宋体"/>
          <w:szCs w:val="21"/>
        </w:rPr>
      </w:pPr>
      <w:r>
        <w:rPr>
          <w:rFonts w:hint="eastAsia" w:ascii="宋体" w:hAnsi="宋体" w:eastAsia="宋体" w:cs="宋体"/>
          <w:szCs w:val="21"/>
        </w:rPr>
        <w:t xml:space="preserve">三、获取招标文件 </w:t>
      </w:r>
    </w:p>
    <w:p>
      <w:pPr>
        <w:spacing w:line="360" w:lineRule="auto"/>
        <w:rPr>
          <w:rFonts w:ascii="宋体" w:hAnsi="宋体" w:eastAsia="宋体" w:cs="宋体"/>
          <w:szCs w:val="21"/>
        </w:rPr>
      </w:pPr>
      <w:r>
        <w:rPr>
          <w:rFonts w:hint="eastAsia" w:ascii="宋体" w:hAnsi="宋体" w:eastAsia="宋体" w:cs="宋体"/>
          <w:szCs w:val="21"/>
        </w:rPr>
        <w:t xml:space="preserve">1.时间：2022年09月13日 至 2022年09月19日，每天上午00:00至12:00，下午12:00至23:55（北京时间，法定节假日除外。） </w:t>
      </w:r>
    </w:p>
    <w:p>
      <w:pPr>
        <w:spacing w:line="360" w:lineRule="auto"/>
        <w:rPr>
          <w:rFonts w:ascii="宋体" w:hAnsi="宋体" w:eastAsia="宋体" w:cs="宋体"/>
          <w:szCs w:val="21"/>
        </w:rPr>
      </w:pPr>
      <w:r>
        <w:rPr>
          <w:rFonts w:hint="eastAsia" w:ascii="宋体" w:hAnsi="宋体" w:eastAsia="宋体" w:cs="宋体"/>
          <w:szCs w:val="21"/>
        </w:rPr>
        <w:t xml:space="preserve">2.地点：登录河南省公共资源交易中心（http://www.hnggzy.net/） </w:t>
      </w:r>
    </w:p>
    <w:p>
      <w:pPr>
        <w:spacing w:line="360" w:lineRule="auto"/>
        <w:rPr>
          <w:rFonts w:ascii="宋体" w:hAnsi="宋体" w:eastAsia="宋体" w:cs="宋体"/>
          <w:szCs w:val="21"/>
        </w:rPr>
      </w:pPr>
      <w:r>
        <w:rPr>
          <w:rFonts w:hint="eastAsia" w:ascii="宋体" w:hAnsi="宋体" w:eastAsia="宋体" w:cs="宋体"/>
          <w:szCs w:val="21"/>
        </w:rPr>
        <w:t xml:space="preserve">3.方式：投标人需要完成信息登记及CA数字证书办理后，凭CA数字证书（CA密钥）登录市场主体系统按网上提示自行下载招标文件及相关资料（详见http://www.hnggzy.net/公共服务-办事指南），未按规定在网上下载招标文件的，其投标将被拒绝。 </w:t>
      </w:r>
    </w:p>
    <w:p>
      <w:pPr>
        <w:spacing w:line="360" w:lineRule="auto"/>
        <w:rPr>
          <w:rFonts w:ascii="宋体" w:hAnsi="宋体" w:eastAsia="宋体" w:cs="宋体"/>
          <w:szCs w:val="21"/>
        </w:rPr>
      </w:pPr>
      <w:r>
        <w:rPr>
          <w:rFonts w:hint="eastAsia" w:ascii="宋体" w:hAnsi="宋体" w:eastAsia="宋体" w:cs="宋体"/>
          <w:szCs w:val="21"/>
        </w:rPr>
        <w:t xml:space="preserve">4.售价：0元 </w:t>
      </w:r>
    </w:p>
    <w:p>
      <w:pPr>
        <w:spacing w:line="360" w:lineRule="auto"/>
        <w:rPr>
          <w:rFonts w:ascii="宋体" w:hAnsi="宋体" w:eastAsia="宋体" w:cs="宋体"/>
          <w:szCs w:val="21"/>
        </w:rPr>
      </w:pPr>
      <w:r>
        <w:rPr>
          <w:rFonts w:hint="eastAsia" w:ascii="宋体" w:hAnsi="宋体" w:eastAsia="宋体" w:cs="宋体"/>
          <w:szCs w:val="21"/>
        </w:rPr>
        <w:t xml:space="preserve">四、投标截止时间及地点 </w:t>
      </w:r>
    </w:p>
    <w:p>
      <w:pPr>
        <w:spacing w:line="360" w:lineRule="auto"/>
        <w:rPr>
          <w:rFonts w:ascii="宋体" w:hAnsi="宋体" w:eastAsia="宋体" w:cs="宋体"/>
          <w:szCs w:val="21"/>
        </w:rPr>
      </w:pPr>
      <w:r>
        <w:rPr>
          <w:rFonts w:hint="eastAsia" w:ascii="宋体" w:hAnsi="宋体" w:eastAsia="宋体" w:cs="宋体"/>
          <w:szCs w:val="21"/>
        </w:rPr>
        <w:t xml:space="preserve">1.时间：2022年10月08日09时00分（北京时间） </w:t>
      </w:r>
    </w:p>
    <w:p>
      <w:pPr>
        <w:spacing w:line="360" w:lineRule="auto"/>
        <w:rPr>
          <w:rFonts w:ascii="宋体" w:hAnsi="宋体" w:eastAsia="宋体" w:cs="宋体"/>
          <w:szCs w:val="21"/>
        </w:rPr>
      </w:pPr>
      <w:r>
        <w:rPr>
          <w:rFonts w:hint="eastAsia" w:ascii="宋体" w:hAnsi="宋体" w:eastAsia="宋体" w:cs="宋体"/>
          <w:szCs w:val="21"/>
        </w:rPr>
        <w:t xml:space="preserve">2.地点：登录河南省公共资源交易中心（http://www.hnggzy.net/） </w:t>
      </w:r>
    </w:p>
    <w:p>
      <w:pPr>
        <w:spacing w:line="360" w:lineRule="auto"/>
        <w:rPr>
          <w:rFonts w:ascii="宋体" w:hAnsi="宋体" w:eastAsia="宋体" w:cs="宋体"/>
          <w:szCs w:val="21"/>
        </w:rPr>
      </w:pPr>
      <w:r>
        <w:rPr>
          <w:rFonts w:hint="eastAsia" w:ascii="宋体" w:hAnsi="宋体" w:eastAsia="宋体" w:cs="宋体"/>
          <w:szCs w:val="21"/>
        </w:rPr>
        <w:t xml:space="preserve">五、开标时间及地点 </w:t>
      </w:r>
    </w:p>
    <w:p>
      <w:pPr>
        <w:spacing w:line="360" w:lineRule="auto"/>
        <w:rPr>
          <w:rFonts w:ascii="宋体" w:hAnsi="宋体" w:eastAsia="宋体" w:cs="宋体"/>
          <w:szCs w:val="21"/>
        </w:rPr>
      </w:pPr>
      <w:r>
        <w:rPr>
          <w:rFonts w:hint="eastAsia" w:ascii="宋体" w:hAnsi="宋体" w:eastAsia="宋体" w:cs="宋体"/>
          <w:szCs w:val="21"/>
        </w:rPr>
        <w:t xml:space="preserve">1.时间：2022年10月08日09时00分（北京时间） </w:t>
      </w:r>
    </w:p>
    <w:p>
      <w:pPr>
        <w:spacing w:line="360" w:lineRule="auto"/>
        <w:rPr>
          <w:rFonts w:ascii="宋体" w:hAnsi="宋体" w:eastAsia="宋体" w:cs="宋体"/>
          <w:szCs w:val="21"/>
        </w:rPr>
      </w:pPr>
      <w:r>
        <w:rPr>
          <w:rFonts w:hint="eastAsia" w:ascii="宋体" w:hAnsi="宋体" w:eastAsia="宋体" w:cs="宋体"/>
          <w:szCs w:val="21"/>
        </w:rPr>
        <w:t xml:space="preserve">2.地点：河南省公共资源交易中心远程开标室(一)-2 </w:t>
      </w:r>
    </w:p>
    <w:p>
      <w:pPr>
        <w:spacing w:line="360" w:lineRule="auto"/>
        <w:rPr>
          <w:rFonts w:ascii="宋体" w:hAnsi="宋体" w:eastAsia="宋体" w:cs="宋体"/>
          <w:szCs w:val="21"/>
        </w:rPr>
      </w:pPr>
      <w:r>
        <w:rPr>
          <w:rFonts w:hint="eastAsia" w:ascii="宋体" w:hAnsi="宋体" w:eastAsia="宋体" w:cs="宋体"/>
          <w:szCs w:val="21"/>
        </w:rPr>
        <w:t xml:space="preserve">六、发布公告的媒介及招标公告期限 </w:t>
      </w:r>
    </w:p>
    <w:p>
      <w:pPr>
        <w:spacing w:line="360" w:lineRule="auto"/>
        <w:rPr>
          <w:rFonts w:ascii="宋体" w:hAnsi="宋体" w:eastAsia="宋体" w:cs="宋体"/>
          <w:szCs w:val="21"/>
        </w:rPr>
      </w:pPr>
      <w:r>
        <w:rPr>
          <w:rFonts w:hint="eastAsia" w:ascii="宋体" w:hAnsi="宋体" w:eastAsia="宋体" w:cs="宋体"/>
          <w:szCs w:val="21"/>
        </w:rPr>
        <w:t xml:space="preserve">本次招标公告在《河南省政府采购网》、《河南省电子招标投标公共服务平台》、《中国招标投标公共服务平台》、《河南省公共资源交易中心门户网站》、《郑州铁路职业技术学院网站》上发布，招标公告期限为五个工作日 。  </w:t>
      </w:r>
    </w:p>
    <w:p>
      <w:pPr>
        <w:spacing w:line="360" w:lineRule="auto"/>
        <w:rPr>
          <w:rFonts w:ascii="宋体" w:hAnsi="宋体" w:eastAsia="宋体" w:cs="宋体"/>
          <w:szCs w:val="21"/>
        </w:rPr>
      </w:pPr>
      <w:r>
        <w:rPr>
          <w:rFonts w:hint="eastAsia" w:ascii="宋体" w:hAnsi="宋体" w:eastAsia="宋体" w:cs="宋体"/>
          <w:szCs w:val="21"/>
        </w:rPr>
        <w:t xml:space="preserve">七、其他补充事宜 </w:t>
      </w:r>
    </w:p>
    <w:p>
      <w:pPr>
        <w:spacing w:line="360" w:lineRule="auto"/>
        <w:rPr>
          <w:rFonts w:ascii="宋体" w:hAnsi="宋体" w:eastAsia="宋体" w:cs="宋体"/>
          <w:szCs w:val="21"/>
        </w:rPr>
      </w:pPr>
      <w:r>
        <w:rPr>
          <w:rFonts w:hint="eastAsia" w:ascii="宋体" w:hAnsi="宋体" w:eastAsia="宋体" w:cs="宋体"/>
          <w:szCs w:val="21"/>
        </w:rPr>
        <w:t>1.本项目执行促进扶持不发达地区和少数民族地区政策、强制采购节能产品、优先采购节能环保产品等政府采购政策。</w:t>
      </w:r>
    </w:p>
    <w:p>
      <w:pPr>
        <w:spacing w:line="360" w:lineRule="auto"/>
        <w:rPr>
          <w:rFonts w:ascii="宋体" w:hAnsi="宋体" w:eastAsia="宋体" w:cs="宋体"/>
          <w:szCs w:val="21"/>
        </w:rPr>
      </w:pPr>
      <w:r>
        <w:rPr>
          <w:rFonts w:hint="eastAsia" w:ascii="宋体" w:hAnsi="宋体" w:eastAsia="宋体" w:cs="宋体"/>
          <w:szCs w:val="21"/>
        </w:rPr>
        <w:t>2.本项目采用“远程不见面”开标方式，不见面开标大厅网址为http://www.hnggzy.net/，供应商无需到河南省公共资源交易中心现场参加开标会议，供应商应当在招标文件确定的投标截止时间前,登录不见面开标大厅签到解密等。</w:t>
      </w:r>
    </w:p>
    <w:p>
      <w:pPr>
        <w:spacing w:line="360" w:lineRule="auto"/>
        <w:rPr>
          <w:rFonts w:ascii="宋体" w:hAnsi="宋体" w:eastAsia="宋体" w:cs="宋体"/>
          <w:szCs w:val="21"/>
        </w:rPr>
      </w:pPr>
      <w:r>
        <w:rPr>
          <w:rFonts w:hint="eastAsia" w:ascii="宋体" w:hAnsi="宋体" w:eastAsia="宋体" w:cs="宋体"/>
          <w:szCs w:val="21"/>
        </w:rPr>
        <w:t>3.不见面服务的具体事宜请查阅河南省公共资源交易中心网站“办事指南”专区的“新交易平台使用手册（培训资料）”。</w:t>
      </w:r>
    </w:p>
    <w:p>
      <w:pPr>
        <w:spacing w:line="360" w:lineRule="auto"/>
        <w:rPr>
          <w:rFonts w:ascii="宋体" w:hAnsi="宋体" w:eastAsia="宋体" w:cs="宋体"/>
          <w:szCs w:val="21"/>
        </w:rPr>
      </w:pPr>
      <w:r>
        <w:rPr>
          <w:rFonts w:hint="eastAsia" w:ascii="宋体" w:hAnsi="宋体" w:eastAsia="宋体" w:cs="宋体"/>
          <w:szCs w:val="21"/>
        </w:rPr>
        <w:t>4.供应商编制投标文件时，应根据招标文件相应要求，涉及营业执照、资质、业绩、获奖、人员、财务、社保、纳税、各类证书等内容，必须在河南省公共资源交易中心市场主体信息库中已登记的信息中选取。未在市场主体信息库中登记的上述内容，不作为评标依据。供应商应及时对河南省公共资源交易中心市场主体信息库的相关内容进行补充、更新。</w:t>
      </w:r>
    </w:p>
    <w:p>
      <w:pPr>
        <w:spacing w:line="360" w:lineRule="auto"/>
        <w:rPr>
          <w:rFonts w:ascii="宋体" w:hAnsi="宋体" w:eastAsia="宋体" w:cs="宋体"/>
          <w:b/>
          <w:bCs/>
          <w:szCs w:val="21"/>
        </w:rPr>
      </w:pPr>
      <w:r>
        <w:rPr>
          <w:rFonts w:hint="eastAsia" w:ascii="宋体" w:hAnsi="宋体" w:eastAsia="宋体" w:cs="宋体"/>
          <w:b/>
          <w:bCs/>
          <w:szCs w:val="21"/>
        </w:rPr>
        <w:t>5.演示U盘的递交截止时间：2022年10月08日09时00分（北京时间）</w:t>
      </w:r>
    </w:p>
    <w:p>
      <w:pPr>
        <w:spacing w:line="360" w:lineRule="auto"/>
        <w:ind w:firstLine="219" w:firstLineChars="104"/>
        <w:rPr>
          <w:rFonts w:ascii="宋体" w:hAnsi="宋体" w:eastAsia="宋体" w:cs="宋体"/>
          <w:b/>
          <w:bCs/>
          <w:szCs w:val="21"/>
        </w:rPr>
      </w:pPr>
      <w:r>
        <w:rPr>
          <w:rFonts w:hint="eastAsia" w:ascii="宋体" w:hAnsi="宋体" w:eastAsia="宋体" w:cs="宋体"/>
          <w:b/>
          <w:bCs/>
          <w:szCs w:val="21"/>
        </w:rPr>
        <w:t>递交地点：河南省公共资源交易中心（郑州市经二路12号（经二路与纬四路向南50米路西）</w:t>
      </w:r>
    </w:p>
    <w:p>
      <w:pPr>
        <w:spacing w:line="360" w:lineRule="auto"/>
        <w:ind w:firstLine="219" w:firstLineChars="104"/>
        <w:rPr>
          <w:rFonts w:ascii="宋体" w:hAnsi="宋体" w:eastAsia="宋体" w:cs="宋体"/>
          <w:b/>
          <w:bCs/>
          <w:szCs w:val="21"/>
        </w:rPr>
      </w:pPr>
      <w:r>
        <w:rPr>
          <w:rFonts w:hint="eastAsia" w:ascii="宋体" w:hAnsi="宋体" w:eastAsia="宋体" w:cs="宋体"/>
          <w:b/>
          <w:bCs/>
          <w:szCs w:val="21"/>
        </w:rPr>
        <w:t>密封要求：信封单独密封，封面标明“项目名称、招标编号并加盖公章”</w:t>
      </w:r>
    </w:p>
    <w:p>
      <w:pPr>
        <w:spacing w:line="360" w:lineRule="auto"/>
        <w:ind w:firstLine="219" w:firstLineChars="104"/>
        <w:rPr>
          <w:rFonts w:ascii="宋体" w:hAnsi="宋体" w:eastAsia="宋体" w:cs="宋体"/>
          <w:b/>
          <w:bCs/>
          <w:szCs w:val="21"/>
        </w:rPr>
      </w:pPr>
      <w:r>
        <w:rPr>
          <w:rFonts w:hint="eastAsia" w:ascii="宋体" w:hAnsi="宋体" w:eastAsia="宋体" w:cs="宋体"/>
          <w:b/>
          <w:bCs/>
          <w:szCs w:val="21"/>
        </w:rPr>
        <w:t>递交要求：由专人携带授权委托书递交</w:t>
      </w:r>
    </w:p>
    <w:p>
      <w:pPr>
        <w:spacing w:line="360" w:lineRule="auto"/>
        <w:ind w:firstLine="219" w:firstLineChars="104"/>
        <w:rPr>
          <w:rFonts w:ascii="宋体" w:hAnsi="宋体" w:eastAsia="宋体" w:cs="宋体"/>
          <w:b/>
          <w:bCs/>
          <w:szCs w:val="21"/>
        </w:rPr>
      </w:pPr>
      <w:r>
        <w:rPr>
          <w:rFonts w:hint="eastAsia" w:ascii="宋体" w:hAnsi="宋体" w:eastAsia="宋体" w:cs="宋体"/>
          <w:b/>
          <w:bCs/>
          <w:szCs w:val="21"/>
        </w:rPr>
        <w:t xml:space="preserve">备注：未密封递交、未按要求递交、逾期递交均不予受理 </w:t>
      </w:r>
    </w:p>
    <w:p>
      <w:pPr>
        <w:spacing w:line="360" w:lineRule="auto"/>
        <w:rPr>
          <w:rFonts w:ascii="宋体" w:hAnsi="宋体" w:eastAsia="宋体" w:cs="宋体"/>
          <w:szCs w:val="21"/>
        </w:rPr>
      </w:pPr>
      <w:r>
        <w:rPr>
          <w:rFonts w:hint="eastAsia" w:ascii="宋体" w:hAnsi="宋体" w:eastAsia="宋体" w:cs="宋体"/>
          <w:szCs w:val="21"/>
        </w:rPr>
        <w:t xml:space="preserve">八、凡对本次招标提出询问，请按照以下方式联系 </w:t>
      </w:r>
    </w:p>
    <w:p>
      <w:pPr>
        <w:spacing w:line="360" w:lineRule="auto"/>
        <w:rPr>
          <w:rFonts w:ascii="宋体" w:hAnsi="宋体" w:eastAsia="宋体" w:cs="宋体"/>
          <w:szCs w:val="21"/>
        </w:rPr>
      </w:pPr>
      <w:r>
        <w:rPr>
          <w:rFonts w:hint="eastAsia" w:ascii="宋体" w:hAnsi="宋体" w:eastAsia="宋体" w:cs="宋体"/>
          <w:szCs w:val="21"/>
        </w:rPr>
        <w:t xml:space="preserve">1. 采购人信息 </w:t>
      </w:r>
    </w:p>
    <w:p>
      <w:pPr>
        <w:spacing w:line="360" w:lineRule="auto"/>
        <w:rPr>
          <w:rFonts w:ascii="宋体" w:hAnsi="宋体" w:eastAsia="宋体" w:cs="宋体"/>
          <w:szCs w:val="21"/>
        </w:rPr>
      </w:pPr>
      <w:r>
        <w:rPr>
          <w:rFonts w:hint="eastAsia" w:ascii="宋体" w:hAnsi="宋体" w:eastAsia="宋体" w:cs="宋体"/>
          <w:szCs w:val="21"/>
        </w:rPr>
        <w:t xml:space="preserve">名称：郑州铁路职业技术学院 </w:t>
      </w:r>
    </w:p>
    <w:p>
      <w:pPr>
        <w:spacing w:line="360" w:lineRule="auto"/>
        <w:rPr>
          <w:rFonts w:ascii="宋体" w:hAnsi="宋体" w:eastAsia="宋体" w:cs="宋体"/>
          <w:szCs w:val="21"/>
        </w:rPr>
      </w:pPr>
      <w:r>
        <w:rPr>
          <w:rFonts w:hint="eastAsia" w:ascii="宋体" w:hAnsi="宋体" w:eastAsia="宋体" w:cs="宋体"/>
          <w:szCs w:val="21"/>
        </w:rPr>
        <w:t xml:space="preserve">地址：郑州市郑东新区前程路9号（郑州铁路职业技术学院新校区） </w:t>
      </w:r>
    </w:p>
    <w:p>
      <w:pPr>
        <w:spacing w:line="360" w:lineRule="auto"/>
        <w:rPr>
          <w:rFonts w:ascii="宋体" w:hAnsi="宋体" w:eastAsia="宋体" w:cs="宋体"/>
          <w:szCs w:val="21"/>
        </w:rPr>
      </w:pPr>
      <w:r>
        <w:rPr>
          <w:rFonts w:hint="eastAsia" w:ascii="宋体" w:hAnsi="宋体" w:eastAsia="宋体" w:cs="宋体"/>
          <w:szCs w:val="21"/>
        </w:rPr>
        <w:t>联系人：王老师</w:t>
      </w:r>
    </w:p>
    <w:p>
      <w:pPr>
        <w:spacing w:line="360" w:lineRule="auto"/>
        <w:rPr>
          <w:rFonts w:ascii="宋体" w:hAnsi="宋体" w:eastAsia="宋体" w:cs="宋体"/>
          <w:szCs w:val="21"/>
        </w:rPr>
      </w:pPr>
      <w:r>
        <w:rPr>
          <w:rFonts w:hint="eastAsia" w:ascii="宋体" w:hAnsi="宋体" w:eastAsia="宋体" w:cs="宋体"/>
          <w:szCs w:val="21"/>
        </w:rPr>
        <w:t xml:space="preserve">联系方式：18637867126 </w:t>
      </w:r>
    </w:p>
    <w:p>
      <w:pPr>
        <w:spacing w:line="360" w:lineRule="auto"/>
        <w:rPr>
          <w:rFonts w:ascii="宋体" w:hAnsi="宋体" w:eastAsia="宋体" w:cs="宋体"/>
          <w:szCs w:val="21"/>
        </w:rPr>
      </w:pPr>
      <w:r>
        <w:rPr>
          <w:rFonts w:hint="eastAsia" w:ascii="宋体" w:hAnsi="宋体" w:eastAsia="宋体" w:cs="宋体"/>
          <w:szCs w:val="21"/>
        </w:rPr>
        <w:t xml:space="preserve">2.采购代理机构信息（如有） </w:t>
      </w:r>
    </w:p>
    <w:p>
      <w:pPr>
        <w:spacing w:line="360" w:lineRule="auto"/>
        <w:rPr>
          <w:rFonts w:ascii="宋体" w:hAnsi="宋体" w:eastAsia="宋体" w:cs="宋体"/>
          <w:szCs w:val="21"/>
        </w:rPr>
      </w:pPr>
      <w:r>
        <w:rPr>
          <w:rFonts w:hint="eastAsia" w:ascii="宋体" w:hAnsi="宋体" w:eastAsia="宋体" w:cs="宋体"/>
          <w:szCs w:val="21"/>
        </w:rPr>
        <w:t xml:space="preserve">名称：河南正禄招标代理有限公司 </w:t>
      </w:r>
    </w:p>
    <w:p>
      <w:pPr>
        <w:spacing w:line="360" w:lineRule="auto"/>
        <w:rPr>
          <w:rFonts w:ascii="宋体" w:hAnsi="宋体" w:eastAsia="宋体" w:cs="宋体"/>
          <w:szCs w:val="21"/>
        </w:rPr>
      </w:pPr>
      <w:r>
        <w:rPr>
          <w:rFonts w:hint="eastAsia" w:ascii="宋体" w:hAnsi="宋体" w:eastAsia="宋体" w:cs="宋体"/>
          <w:szCs w:val="21"/>
        </w:rPr>
        <w:t xml:space="preserve">地址：河南省郑州市郑东新区白沙镇通惠路31号府苑小区1号楼1单元402号 </w:t>
      </w:r>
    </w:p>
    <w:p>
      <w:pPr>
        <w:spacing w:line="360" w:lineRule="auto"/>
        <w:rPr>
          <w:rFonts w:ascii="宋体" w:hAnsi="宋体" w:eastAsia="宋体" w:cs="宋体"/>
          <w:szCs w:val="21"/>
        </w:rPr>
      </w:pPr>
      <w:r>
        <w:rPr>
          <w:rFonts w:hint="eastAsia" w:ascii="宋体" w:hAnsi="宋体" w:eastAsia="宋体" w:cs="宋体"/>
          <w:szCs w:val="21"/>
        </w:rPr>
        <w:t xml:space="preserve">联系人：陈诗涵 </w:t>
      </w:r>
    </w:p>
    <w:p>
      <w:pPr>
        <w:spacing w:line="360" w:lineRule="auto"/>
        <w:rPr>
          <w:rFonts w:ascii="宋体" w:hAnsi="宋体" w:eastAsia="宋体" w:cs="宋体"/>
          <w:szCs w:val="21"/>
        </w:rPr>
      </w:pPr>
      <w:r>
        <w:rPr>
          <w:rFonts w:hint="eastAsia" w:ascii="宋体" w:hAnsi="宋体" w:eastAsia="宋体" w:cs="宋体"/>
          <w:szCs w:val="21"/>
        </w:rPr>
        <w:t xml:space="preserve">联系方式：0371-53301569 </w:t>
      </w:r>
    </w:p>
    <w:p>
      <w:pPr>
        <w:spacing w:line="360" w:lineRule="auto"/>
        <w:rPr>
          <w:rFonts w:ascii="宋体" w:hAnsi="宋体" w:eastAsia="宋体" w:cs="宋体"/>
          <w:szCs w:val="21"/>
        </w:rPr>
      </w:pPr>
      <w:r>
        <w:rPr>
          <w:rFonts w:hint="eastAsia" w:ascii="宋体" w:hAnsi="宋体" w:eastAsia="宋体" w:cs="宋体"/>
          <w:szCs w:val="21"/>
        </w:rPr>
        <w:t xml:space="preserve">3.项目联系方式 </w:t>
      </w:r>
    </w:p>
    <w:p>
      <w:pPr>
        <w:spacing w:line="360" w:lineRule="auto"/>
        <w:rPr>
          <w:rFonts w:ascii="宋体" w:hAnsi="宋体" w:eastAsia="宋体" w:cs="宋体"/>
          <w:szCs w:val="21"/>
        </w:rPr>
      </w:pPr>
      <w:r>
        <w:rPr>
          <w:rFonts w:hint="eastAsia" w:ascii="宋体" w:hAnsi="宋体" w:eastAsia="宋体" w:cs="宋体"/>
          <w:szCs w:val="21"/>
        </w:rPr>
        <w:t xml:space="preserve">项目联系人：陈诗涵 </w:t>
      </w:r>
    </w:p>
    <w:p>
      <w:pPr>
        <w:spacing w:line="360" w:lineRule="auto"/>
        <w:rPr>
          <w:rFonts w:ascii="宋体" w:hAnsi="宋体" w:cs="宋体"/>
        </w:rPr>
      </w:pPr>
      <w:r>
        <w:rPr>
          <w:rFonts w:hint="eastAsia" w:ascii="宋体" w:hAnsi="宋体" w:eastAsia="宋体" w:cs="宋体"/>
          <w:szCs w:val="21"/>
        </w:rPr>
        <w:t>联系方式：0371-53301569</w:t>
      </w:r>
      <w:r>
        <w:rPr>
          <w:rFonts w:hint="eastAsia" w:ascii="宋体" w:hAnsi="宋体" w:cs="宋体"/>
        </w:rPr>
        <w:br w:type="page"/>
      </w:r>
    </w:p>
    <w:p>
      <w:pPr>
        <w:pStyle w:val="3"/>
        <w:spacing w:line="360" w:lineRule="auto"/>
        <w:rPr>
          <w:rFonts w:ascii="宋体" w:hAnsi="宋体" w:cs="宋体"/>
        </w:rPr>
      </w:pPr>
      <w:r>
        <w:rPr>
          <w:rFonts w:hint="eastAsia" w:ascii="宋体" w:hAnsi="宋体" w:cs="宋体"/>
        </w:rPr>
        <w:t>第二章 投标人须知</w:t>
      </w:r>
      <w:bookmarkEnd w:id="1"/>
    </w:p>
    <w:p>
      <w:pPr>
        <w:pStyle w:val="4"/>
        <w:spacing w:line="360" w:lineRule="auto"/>
        <w:rPr>
          <w:rFonts w:ascii="宋体" w:hAnsi="宋体" w:eastAsia="宋体" w:cs="宋体"/>
        </w:rPr>
      </w:pPr>
      <w:bookmarkStart w:id="2" w:name="_Toc11477"/>
      <w:bookmarkStart w:id="3" w:name="_Toc18613_WPSOffice_Level2"/>
      <w:r>
        <w:rPr>
          <w:rFonts w:hint="eastAsia" w:ascii="宋体" w:hAnsi="宋体" w:eastAsia="宋体" w:cs="宋体"/>
        </w:rPr>
        <w:t>一 投标人须知表</w:t>
      </w:r>
      <w:bookmarkEnd w:id="2"/>
      <w:bookmarkEnd w:id="3"/>
    </w:p>
    <w:tbl>
      <w:tblPr>
        <w:tblStyle w:val="29"/>
        <w:tblW w:w="8656" w:type="dxa"/>
        <w:tblInd w:w="0" w:type="dxa"/>
        <w:tblLayout w:type="fixed"/>
        <w:tblCellMar>
          <w:top w:w="0" w:type="dxa"/>
          <w:left w:w="108" w:type="dxa"/>
          <w:bottom w:w="0" w:type="dxa"/>
          <w:right w:w="108" w:type="dxa"/>
        </w:tblCellMar>
      </w:tblPr>
      <w:tblGrid>
        <w:gridCol w:w="852"/>
        <w:gridCol w:w="1590"/>
        <w:gridCol w:w="6214"/>
      </w:tblGrid>
      <w:tr>
        <w:tblPrEx>
          <w:tblCellMar>
            <w:top w:w="0" w:type="dxa"/>
            <w:left w:w="108" w:type="dxa"/>
            <w:bottom w:w="0" w:type="dxa"/>
            <w:right w:w="108" w:type="dxa"/>
          </w:tblCellMar>
        </w:tblPrEx>
        <w:trPr>
          <w:trHeight w:val="32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bookmarkStart w:id="4" w:name="sys_招标项目基本内容及要求：Block"/>
            <w:bookmarkEnd w:id="4"/>
            <w:bookmarkStart w:id="5" w:name="sys_招标项目基本内容及要求其他：Block"/>
            <w:bookmarkEnd w:id="5"/>
            <w:bookmarkStart w:id="6" w:name="招标项目基本内容及要求其他：Block"/>
            <w:bookmarkEnd w:id="6"/>
            <w:bookmarkStart w:id="7" w:name="招标项目基本内容及要求：Block"/>
            <w:bookmarkEnd w:id="7"/>
            <w:r>
              <w:rPr>
                <w:rFonts w:hint="eastAsia" w:ascii="宋体" w:hAnsi="宋体" w:eastAsia="宋体" w:cs="宋体"/>
                <w:kern w:val="0"/>
                <w:szCs w:val="21"/>
              </w:rPr>
              <w:t>条款号</w:t>
            </w:r>
          </w:p>
        </w:tc>
        <w:tc>
          <w:tcPr>
            <w:tcW w:w="15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kern w:val="0"/>
                <w:szCs w:val="21"/>
              </w:rPr>
            </w:pPr>
            <w:r>
              <w:rPr>
                <w:rFonts w:hint="eastAsia" w:ascii="宋体" w:hAnsi="宋体" w:eastAsia="宋体" w:cs="宋体"/>
                <w:kern w:val="0"/>
                <w:szCs w:val="21"/>
              </w:rPr>
              <w:t>项   目</w:t>
            </w:r>
          </w:p>
        </w:tc>
        <w:tc>
          <w:tcPr>
            <w:tcW w:w="621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内     容</w:t>
            </w:r>
          </w:p>
        </w:tc>
      </w:tr>
      <w:tr>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1.1</w:t>
            </w:r>
          </w:p>
        </w:tc>
        <w:tc>
          <w:tcPr>
            <w:tcW w:w="15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kern w:val="0"/>
                <w:szCs w:val="21"/>
              </w:rPr>
            </w:pPr>
            <w:r>
              <w:rPr>
                <w:rFonts w:hint="eastAsia" w:ascii="宋体" w:hAnsi="宋体" w:eastAsia="宋体" w:cs="宋体"/>
                <w:kern w:val="0"/>
                <w:szCs w:val="21"/>
              </w:rPr>
              <w:t>采购人</w:t>
            </w:r>
          </w:p>
        </w:tc>
        <w:tc>
          <w:tcPr>
            <w:tcW w:w="621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 xml:space="preserve">名称：郑州铁路职业技术学院 </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地址：郑州市郑东新区前程路9号（郑州铁路职业技术学院新校区）</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联系人：王老师</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 xml:space="preserve">联系方式：0371-60867917 </w:t>
            </w:r>
          </w:p>
        </w:tc>
      </w:tr>
      <w:tr>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1.2</w:t>
            </w:r>
          </w:p>
        </w:tc>
        <w:tc>
          <w:tcPr>
            <w:tcW w:w="15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kern w:val="0"/>
                <w:szCs w:val="21"/>
              </w:rPr>
            </w:pPr>
            <w:r>
              <w:rPr>
                <w:rFonts w:hint="eastAsia" w:ascii="宋体" w:hAnsi="宋体" w:eastAsia="宋体" w:cs="宋体"/>
                <w:kern w:val="0"/>
                <w:szCs w:val="21"/>
              </w:rPr>
              <w:t>采购代理机构</w:t>
            </w:r>
          </w:p>
        </w:tc>
        <w:tc>
          <w:tcPr>
            <w:tcW w:w="621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名称：河南正禄招标代理有限公司</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 xml:space="preserve">地址：河南省郑州市郑东新区白沙镇通惠路31号府苑小区1号楼1单元402号   </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联系人：陈诗涵</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联系方式：0371-53301569</w:t>
            </w:r>
          </w:p>
        </w:tc>
      </w:tr>
      <w:tr>
        <w:tblPrEx>
          <w:tblCellMar>
            <w:top w:w="0" w:type="dxa"/>
            <w:left w:w="108" w:type="dxa"/>
            <w:bottom w:w="0" w:type="dxa"/>
            <w:right w:w="108" w:type="dxa"/>
          </w:tblCellMar>
        </w:tblPrEx>
        <w:trPr>
          <w:trHeight w:val="538"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1.3.1</w:t>
            </w:r>
          </w:p>
        </w:tc>
        <w:tc>
          <w:tcPr>
            <w:tcW w:w="15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kern w:val="0"/>
                <w:szCs w:val="21"/>
              </w:rPr>
            </w:pPr>
            <w:r>
              <w:rPr>
                <w:rFonts w:hint="eastAsia" w:ascii="宋体" w:hAnsi="宋体" w:eastAsia="宋体" w:cs="宋体"/>
                <w:kern w:val="0"/>
                <w:szCs w:val="21"/>
              </w:rPr>
              <w:t>交货期</w:t>
            </w:r>
          </w:p>
        </w:tc>
        <w:tc>
          <w:tcPr>
            <w:tcW w:w="621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eastAsia="宋体"/>
              </w:rPr>
            </w:pPr>
            <w:r>
              <w:rPr>
                <w:rFonts w:hint="eastAsia" w:eastAsia="宋体"/>
              </w:rPr>
              <w:t>合同签订后</w:t>
            </w:r>
            <w:r>
              <w:rPr>
                <w:rFonts w:hint="eastAsia" w:eastAsia="宋体"/>
                <w:u w:val="single"/>
              </w:rPr>
              <w:t>3</w:t>
            </w:r>
            <w:r>
              <w:rPr>
                <w:rFonts w:eastAsia="宋体"/>
                <w:u w:val="single"/>
              </w:rPr>
              <w:t>0</w:t>
            </w:r>
            <w:r>
              <w:rPr>
                <w:rFonts w:hint="eastAsia" w:eastAsia="宋体"/>
              </w:rPr>
              <w:t>个日历天内完成设备安装调试至正常使用状态</w:t>
            </w:r>
          </w:p>
        </w:tc>
      </w:tr>
      <w:tr>
        <w:tblPrEx>
          <w:tblCellMar>
            <w:top w:w="0" w:type="dxa"/>
            <w:left w:w="108" w:type="dxa"/>
            <w:bottom w:w="0" w:type="dxa"/>
            <w:right w:w="108" w:type="dxa"/>
          </w:tblCellMar>
        </w:tblPrEx>
        <w:trPr>
          <w:trHeight w:val="686"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1.3.2</w:t>
            </w:r>
          </w:p>
        </w:tc>
        <w:tc>
          <w:tcPr>
            <w:tcW w:w="15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kern w:val="0"/>
                <w:szCs w:val="21"/>
              </w:rPr>
            </w:pPr>
            <w:r>
              <w:rPr>
                <w:rFonts w:hint="eastAsia" w:ascii="宋体" w:hAnsi="宋体" w:eastAsia="宋体" w:cs="宋体"/>
                <w:kern w:val="0"/>
                <w:szCs w:val="21"/>
              </w:rPr>
              <w:t>交货地点</w:t>
            </w:r>
          </w:p>
        </w:tc>
        <w:tc>
          <w:tcPr>
            <w:tcW w:w="621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郑州铁路职业技术学院</w:t>
            </w:r>
            <w:r>
              <w:rPr>
                <w:rFonts w:ascii="宋体" w:hAnsi="宋体" w:eastAsia="宋体" w:cs="宋体"/>
                <w:kern w:val="0"/>
                <w:szCs w:val="21"/>
              </w:rPr>
              <w:t>指定地点</w:t>
            </w:r>
          </w:p>
        </w:tc>
      </w:tr>
      <w:tr>
        <w:tblPrEx>
          <w:tblCellMar>
            <w:top w:w="0" w:type="dxa"/>
            <w:left w:w="108" w:type="dxa"/>
            <w:bottom w:w="0" w:type="dxa"/>
            <w:right w:w="108" w:type="dxa"/>
          </w:tblCellMar>
        </w:tblPrEx>
        <w:trPr>
          <w:trHeight w:val="57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1.3.3</w:t>
            </w:r>
          </w:p>
        </w:tc>
        <w:tc>
          <w:tcPr>
            <w:tcW w:w="15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kern w:val="0"/>
                <w:szCs w:val="21"/>
              </w:rPr>
            </w:pPr>
            <w:r>
              <w:rPr>
                <w:rFonts w:hint="eastAsia" w:ascii="宋体" w:hAnsi="宋体" w:eastAsia="宋体" w:cs="宋体"/>
                <w:kern w:val="0"/>
                <w:szCs w:val="21"/>
              </w:rPr>
              <w:t>质保期</w:t>
            </w:r>
          </w:p>
        </w:tc>
        <w:tc>
          <w:tcPr>
            <w:tcW w:w="621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三年</w:t>
            </w:r>
          </w:p>
        </w:tc>
      </w:tr>
      <w:tr>
        <w:tblPrEx>
          <w:tblCellMar>
            <w:top w:w="0" w:type="dxa"/>
            <w:left w:w="108" w:type="dxa"/>
            <w:bottom w:w="0" w:type="dxa"/>
            <w:right w:w="108" w:type="dxa"/>
          </w:tblCellMar>
        </w:tblPrEx>
        <w:trPr>
          <w:trHeight w:val="605"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1.3.4</w:t>
            </w:r>
          </w:p>
        </w:tc>
        <w:tc>
          <w:tcPr>
            <w:tcW w:w="15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kern w:val="0"/>
                <w:szCs w:val="21"/>
              </w:rPr>
            </w:pPr>
            <w:r>
              <w:rPr>
                <w:rFonts w:hint="eastAsia" w:ascii="宋体" w:hAnsi="宋体" w:eastAsia="宋体" w:cs="宋体"/>
                <w:kern w:val="0"/>
                <w:szCs w:val="21"/>
              </w:rPr>
              <w:t>质量标准</w:t>
            </w:r>
          </w:p>
        </w:tc>
        <w:tc>
          <w:tcPr>
            <w:tcW w:w="621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达到国家及行业验收合格标准，且满足采购人需求</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1.3.5</w:t>
            </w:r>
          </w:p>
        </w:tc>
        <w:tc>
          <w:tcPr>
            <w:tcW w:w="15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kern w:val="0"/>
                <w:szCs w:val="21"/>
              </w:rPr>
            </w:pPr>
            <w:r>
              <w:rPr>
                <w:rFonts w:hint="eastAsia" w:ascii="宋体" w:hAnsi="宋体" w:eastAsia="宋体" w:cs="宋体"/>
                <w:szCs w:val="21"/>
              </w:rPr>
              <w:t>*</w:t>
            </w:r>
            <w:r>
              <w:rPr>
                <w:rFonts w:hint="eastAsia" w:ascii="宋体" w:hAnsi="宋体" w:eastAsia="宋体" w:cs="宋体"/>
                <w:kern w:val="0"/>
                <w:szCs w:val="21"/>
              </w:rPr>
              <w:t>合格投标人需要满足的资格条件</w:t>
            </w:r>
          </w:p>
        </w:tc>
        <w:tc>
          <w:tcPr>
            <w:tcW w:w="621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投标人应当具备政府采购法第二十二条第一款规定的条件，并提供下列材料：</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1、在中华人民共和国境内合法注册的，须具有独立法人资格或其他组织，提供有效的营业执照或其他证明材料；</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2、具有良好的商业信誉和健全的财务会计制度，提供上一年度经审验的财务年审报告，成立时间较短不能提供的，应提交开户银行出具的资信证明；</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3、具有履行合同所必需的设备和专业技术能力，提供声明函，格式自拟；</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4、有依法缴纳税收和社会保障资金的良好记录，提供近三个月以来任意一个月缴纳税收和社会保险的申报证明材料；</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5、参加政府采购活动前三年内，在经营活动中没有重大违法记录，提供声明函，格式自拟；</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6、单位负责人为同一人或者存在控股关系、参股关系、管理关系的不同单位，不得参加同一标段投标或未划分标段的同一招标项目投标，提供声明函；</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7、根据《关于在政府采购活动中查询及使用信用记录有关问题的通知》(财库[2016]125号)的规定，对列入失信被执行人、税收违法黑名单、政府采购严重违法失信行为记录名单的投标投标人，拒绝参与本项目政府采购活动；采购人或代理机构查询渠道：失信被执行人通过“中国执行信息公开网”网站查询；</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税收违法黑名单通过“信用中国”网站查询；</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政府采购严重违法失信行为通过“中国政府采购网”查询；</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8、本项目不接受联合体投标（提供非联合体声明）。</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1.3.6</w:t>
            </w:r>
          </w:p>
        </w:tc>
        <w:tc>
          <w:tcPr>
            <w:tcW w:w="1590" w:type="dxa"/>
            <w:tcBorders>
              <w:top w:val="single" w:color="auto" w:sz="4" w:space="0"/>
              <w:left w:val="single" w:color="auto" w:sz="4" w:space="0"/>
              <w:bottom w:val="single" w:color="auto" w:sz="4" w:space="0"/>
              <w:right w:val="single" w:color="auto" w:sz="4" w:space="0"/>
            </w:tcBorders>
            <w:vAlign w:val="center"/>
          </w:tcPr>
          <w:p>
            <w:pPr>
              <w:tabs>
                <w:tab w:val="left" w:pos="1425"/>
              </w:tabs>
              <w:spacing w:line="360" w:lineRule="auto"/>
              <w:jc w:val="center"/>
              <w:rPr>
                <w:rFonts w:ascii="宋体" w:hAnsi="宋体" w:eastAsia="宋体" w:cs="宋体"/>
                <w:bCs/>
                <w:kern w:val="0"/>
                <w:szCs w:val="21"/>
              </w:rPr>
            </w:pPr>
            <w:r>
              <w:rPr>
                <w:rFonts w:hint="eastAsia" w:ascii="宋体" w:hAnsi="宋体" w:eastAsia="宋体" w:cs="宋体"/>
                <w:bCs/>
                <w:kern w:val="0"/>
                <w:szCs w:val="21"/>
              </w:rPr>
              <w:t>是否允许采购进口产品</w:t>
            </w:r>
          </w:p>
        </w:tc>
        <w:tc>
          <w:tcPr>
            <w:tcW w:w="6214"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eastAsia="宋体" w:cs="宋体"/>
                <w:bCs/>
                <w:kern w:val="0"/>
                <w:szCs w:val="21"/>
              </w:rPr>
            </w:pPr>
            <w:r>
              <w:rPr>
                <w:rFonts w:hint="eastAsia" w:ascii="宋体" w:hAnsi="宋体" w:eastAsia="宋体" w:cs="宋体"/>
              </w:rPr>
              <w:t>否</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1.3.7</w:t>
            </w:r>
          </w:p>
        </w:tc>
        <w:tc>
          <w:tcPr>
            <w:tcW w:w="1590" w:type="dxa"/>
            <w:tcBorders>
              <w:top w:val="single" w:color="auto" w:sz="4" w:space="0"/>
              <w:left w:val="single" w:color="auto" w:sz="4" w:space="0"/>
              <w:bottom w:val="single" w:color="auto" w:sz="4" w:space="0"/>
              <w:right w:val="single" w:color="auto" w:sz="4" w:space="0"/>
            </w:tcBorders>
            <w:vAlign w:val="center"/>
          </w:tcPr>
          <w:p>
            <w:pPr>
              <w:tabs>
                <w:tab w:val="left" w:pos="1425"/>
              </w:tabs>
              <w:spacing w:line="360" w:lineRule="auto"/>
              <w:jc w:val="center"/>
              <w:rPr>
                <w:rFonts w:ascii="宋体" w:hAnsi="宋体" w:eastAsia="宋体" w:cs="宋体"/>
                <w:bCs/>
                <w:kern w:val="0"/>
                <w:szCs w:val="21"/>
              </w:rPr>
            </w:pPr>
            <w:r>
              <w:rPr>
                <w:rFonts w:hint="eastAsia" w:ascii="宋体" w:hAnsi="宋体" w:eastAsia="宋体" w:cs="宋体"/>
                <w:b/>
                <w:kern w:val="0"/>
                <w:szCs w:val="21"/>
              </w:rPr>
              <w:t>是否为专门面向中小企业采购</w:t>
            </w:r>
          </w:p>
        </w:tc>
        <w:tc>
          <w:tcPr>
            <w:tcW w:w="6214"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eastAsia="宋体" w:cs="宋体"/>
              </w:rPr>
            </w:pPr>
            <w:r>
              <w:rPr>
                <w:rFonts w:hint="eastAsia" w:ascii="宋体" w:hAnsi="宋体" w:eastAsia="宋体" w:cs="宋体"/>
              </w:rPr>
              <w:t>否</w:t>
            </w:r>
          </w:p>
        </w:tc>
      </w:tr>
      <w:tr>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1.3.8</w:t>
            </w:r>
          </w:p>
        </w:tc>
        <w:tc>
          <w:tcPr>
            <w:tcW w:w="1590" w:type="dxa"/>
            <w:tcBorders>
              <w:top w:val="single" w:color="auto" w:sz="4" w:space="0"/>
              <w:left w:val="single" w:color="auto" w:sz="4" w:space="0"/>
              <w:bottom w:val="single" w:color="auto" w:sz="4" w:space="0"/>
              <w:right w:val="single" w:color="auto" w:sz="4" w:space="0"/>
            </w:tcBorders>
            <w:vAlign w:val="center"/>
          </w:tcPr>
          <w:p>
            <w:pPr>
              <w:tabs>
                <w:tab w:val="left" w:pos="1425"/>
              </w:tabs>
              <w:spacing w:line="360" w:lineRule="auto"/>
              <w:jc w:val="center"/>
              <w:rPr>
                <w:rFonts w:ascii="宋体" w:hAnsi="宋体" w:eastAsia="宋体" w:cs="宋体"/>
                <w:szCs w:val="21"/>
              </w:rPr>
            </w:pPr>
            <w:r>
              <w:rPr>
                <w:rFonts w:hint="eastAsia" w:ascii="宋体" w:hAnsi="宋体" w:eastAsia="宋体" w:cs="宋体"/>
                <w:szCs w:val="21"/>
              </w:rPr>
              <w:t>*政府采购政策</w:t>
            </w:r>
          </w:p>
        </w:tc>
        <w:tc>
          <w:tcPr>
            <w:tcW w:w="6214"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eastAsia="宋体" w:cs="宋体"/>
                <w:bCs/>
                <w:kern w:val="0"/>
                <w:szCs w:val="21"/>
              </w:rPr>
            </w:pPr>
            <w:r>
              <w:rPr>
                <w:rFonts w:hint="eastAsia" w:ascii="宋体" w:hAnsi="宋体" w:eastAsia="宋体" w:cs="宋体"/>
                <w:bCs/>
                <w:kern w:val="0"/>
                <w:szCs w:val="21"/>
              </w:rPr>
              <w:t>1、根据《财政部发展改革委生态环境部市场监管总局关于调整优化节能产品、环境标志产品政府采购执行机制的通知》（财库〔2019〕9号）、《关于印发节能产品政府采购品目清单的通知》（财库〔2019〕19号）、《关于印发环境标志产品政府采购品目清单的通知》（财库〔2019〕18号）文件规定，本项目如涉及到品目清单范围内的产品，将依据国家确定的认证机构出具的、处于有效期之内的节能产品、环境标志产品认证证书，对获得证书的产品实施优先采购或强制采购。(提供证明材料)。</w:t>
            </w:r>
          </w:p>
          <w:p>
            <w:pPr>
              <w:spacing w:line="360" w:lineRule="auto"/>
              <w:rPr>
                <w:rFonts w:ascii="宋体" w:hAnsi="宋体" w:eastAsia="宋体" w:cs="宋体"/>
                <w:bCs/>
                <w:kern w:val="0"/>
                <w:szCs w:val="21"/>
              </w:rPr>
            </w:pPr>
            <w:r>
              <w:rPr>
                <w:rFonts w:hint="eastAsia" w:ascii="宋体" w:hAnsi="宋体" w:eastAsia="宋体" w:cs="宋体"/>
                <w:bCs/>
                <w:kern w:val="0"/>
                <w:szCs w:val="21"/>
              </w:rPr>
              <w:t>2.所投产品已列入国家强制性产品认证的产品，必须提供通过国家3C认证的有关证明材料(提供证明材料)。</w:t>
            </w:r>
          </w:p>
          <w:p>
            <w:pPr>
              <w:spacing w:line="360" w:lineRule="auto"/>
              <w:rPr>
                <w:rFonts w:ascii="宋体" w:hAnsi="宋体" w:eastAsia="宋体" w:cs="宋体"/>
              </w:rPr>
            </w:pPr>
            <w:r>
              <w:rPr>
                <w:rFonts w:hint="eastAsia" w:ascii="宋体" w:hAnsi="宋体" w:eastAsia="宋体" w:cs="宋体"/>
              </w:rPr>
              <w:t>注：财政部生态环境部关于印发节能产品政府采购品目清单的通知（财库〔2019〕19号）★A02010104 台式计算机★A02010105 便携式计算机★A02010107 平板式微型计算机★A0201060102 激光打印机★A0201060104 针式打印机★A0201060401 液晶显示器★A02052301 制冷压缩机★A02052305 空调机组★A02052309 专用制冷、空调设备★A020609 镇流器★A0206180203 空调机★普通照明用双端荧光灯★A020910 电视设备★A020911 视频设备★A060805 便器★A060806 水嘴为政府强制采购产品</w:t>
            </w:r>
          </w:p>
          <w:p>
            <w:pPr>
              <w:spacing w:line="360" w:lineRule="auto"/>
              <w:rPr>
                <w:rFonts w:ascii="宋体" w:hAnsi="宋体" w:eastAsia="宋体" w:cs="宋体"/>
              </w:rPr>
            </w:pPr>
            <w:r>
              <w:rPr>
                <w:rFonts w:hint="eastAsia" w:ascii="宋体" w:hAnsi="宋体" w:eastAsia="宋体" w:cs="宋体"/>
              </w:rPr>
              <w:t>招标文件货物需求如有上述产品，投标人投报产品应当取得国家确定的认证机构出具的、处于有效期之内的节能产品认证证书，否则，其投标文件无效。</w:t>
            </w:r>
          </w:p>
        </w:tc>
      </w:tr>
      <w:tr>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1.3.9</w:t>
            </w:r>
          </w:p>
        </w:tc>
        <w:tc>
          <w:tcPr>
            <w:tcW w:w="1590" w:type="dxa"/>
            <w:tcBorders>
              <w:top w:val="single" w:color="auto" w:sz="4" w:space="0"/>
              <w:left w:val="single" w:color="auto" w:sz="4" w:space="0"/>
              <w:bottom w:val="single" w:color="auto" w:sz="4" w:space="0"/>
              <w:right w:val="single" w:color="auto" w:sz="4" w:space="0"/>
            </w:tcBorders>
            <w:vAlign w:val="center"/>
          </w:tcPr>
          <w:p>
            <w:pPr>
              <w:tabs>
                <w:tab w:val="left" w:pos="1425"/>
              </w:tabs>
              <w:spacing w:line="360" w:lineRule="auto"/>
              <w:jc w:val="center"/>
              <w:rPr>
                <w:rFonts w:ascii="宋体" w:hAnsi="宋体" w:eastAsia="宋体" w:cs="宋体"/>
                <w:szCs w:val="21"/>
              </w:rPr>
            </w:pPr>
            <w:r>
              <w:rPr>
                <w:rFonts w:hint="eastAsia" w:ascii="宋体" w:hAnsi="宋体" w:eastAsia="宋体" w:cs="宋体"/>
                <w:szCs w:val="21"/>
              </w:rPr>
              <w:t>采购标的所属行业</w:t>
            </w:r>
          </w:p>
        </w:tc>
        <w:tc>
          <w:tcPr>
            <w:tcW w:w="6214"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eastAsia="宋体" w:cs="宋体"/>
                <w:kern w:val="0"/>
                <w:szCs w:val="21"/>
              </w:rPr>
            </w:pPr>
            <w:r>
              <w:rPr>
                <w:rFonts w:hint="eastAsia" w:ascii="宋体" w:hAnsi="宋体" w:eastAsia="宋体" w:cs="宋体"/>
                <w:kern w:val="0"/>
                <w:szCs w:val="21"/>
              </w:rPr>
              <w:t>所属行业为：</w:t>
            </w:r>
            <w:r>
              <w:rPr>
                <w:rFonts w:hint="eastAsia" w:ascii="宋体" w:hAnsi="宋体" w:eastAsia="宋体" w:cs="宋体"/>
                <w:bCs/>
                <w:kern w:val="0"/>
                <w:szCs w:val="21"/>
                <w:u w:val="single"/>
              </w:rPr>
              <w:t xml:space="preserve"> 制造业  </w:t>
            </w:r>
          </w:p>
          <w:p>
            <w:pPr>
              <w:spacing w:line="360" w:lineRule="auto"/>
              <w:rPr>
                <w:rFonts w:ascii="宋体" w:hAnsi="宋体" w:eastAsia="宋体" w:cs="宋体"/>
                <w:kern w:val="0"/>
                <w:szCs w:val="21"/>
              </w:rPr>
            </w:pPr>
            <w:r>
              <w:rPr>
                <w:rFonts w:hint="eastAsia" w:ascii="宋体" w:hAnsi="宋体" w:eastAsia="宋体" w:cs="宋体"/>
                <w:kern w:val="0"/>
                <w:szCs w:val="21"/>
              </w:rPr>
              <w:t>划定标准为：中小微企业划分按照《国家统计局关于印发&lt;统计上大中小微型企业划分办法（2017）&gt;的通知》国统字〔2017〕213号文件及《工业和信息化部、国家统计局、国家发展和改革委员会、财政部关于印发&lt;中小企业划型标准规定&gt;的通知》（工信部联企业[2011]300 号）规定的划分标准为依据。</w:t>
            </w:r>
          </w:p>
        </w:tc>
      </w:tr>
      <w:tr>
        <w:tblPrEx>
          <w:tblCellMar>
            <w:top w:w="0" w:type="dxa"/>
            <w:left w:w="108" w:type="dxa"/>
            <w:bottom w:w="0" w:type="dxa"/>
            <w:right w:w="108" w:type="dxa"/>
          </w:tblCellMar>
        </w:tblPrEx>
        <w:trPr>
          <w:trHeight w:val="645"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1.3.10</w:t>
            </w:r>
          </w:p>
        </w:tc>
        <w:tc>
          <w:tcPr>
            <w:tcW w:w="1590" w:type="dxa"/>
            <w:tcBorders>
              <w:top w:val="single" w:color="auto" w:sz="4" w:space="0"/>
              <w:left w:val="single" w:color="auto" w:sz="4" w:space="0"/>
              <w:bottom w:val="single" w:color="auto" w:sz="4" w:space="0"/>
              <w:right w:val="single" w:color="auto" w:sz="4" w:space="0"/>
            </w:tcBorders>
            <w:vAlign w:val="center"/>
          </w:tcPr>
          <w:p>
            <w:pPr>
              <w:tabs>
                <w:tab w:val="left" w:pos="1425"/>
              </w:tabs>
              <w:spacing w:line="360" w:lineRule="auto"/>
              <w:jc w:val="center"/>
              <w:rPr>
                <w:rFonts w:ascii="宋体" w:hAnsi="宋体" w:eastAsia="宋体" w:cs="宋体"/>
                <w:szCs w:val="21"/>
              </w:rPr>
            </w:pPr>
            <w:r>
              <w:rPr>
                <w:rFonts w:hint="eastAsia" w:ascii="宋体" w:hAnsi="宋体" w:eastAsia="宋体" w:cs="宋体"/>
                <w:szCs w:val="21"/>
              </w:rPr>
              <w:t>本项目采购标的属性</w:t>
            </w:r>
          </w:p>
        </w:tc>
        <w:tc>
          <w:tcPr>
            <w:tcW w:w="6214" w:type="dxa"/>
            <w:tcBorders>
              <w:top w:val="single" w:color="auto" w:sz="4" w:space="0"/>
              <w:left w:val="single" w:color="auto" w:sz="4" w:space="0"/>
              <w:bottom w:val="single" w:color="auto" w:sz="4" w:space="0"/>
              <w:right w:val="single" w:color="auto" w:sz="4" w:space="0"/>
            </w:tcBorders>
            <w:vAlign w:val="center"/>
          </w:tcPr>
          <w:p>
            <w:pPr>
              <w:pStyle w:val="55"/>
              <w:spacing w:line="360" w:lineRule="auto"/>
              <w:rPr>
                <w:rFonts w:ascii="宋体" w:hAnsi="宋体" w:cs="宋体"/>
              </w:rPr>
            </w:pPr>
            <w:r>
              <w:rPr>
                <w:rFonts w:hint="eastAsia" w:ascii="宋体" w:hAnsi="宋体" w:cs="宋体"/>
              </w:rPr>
              <w:t>货物</w:t>
            </w:r>
          </w:p>
        </w:tc>
      </w:tr>
      <w:tr>
        <w:tblPrEx>
          <w:tblCellMar>
            <w:top w:w="0" w:type="dxa"/>
            <w:left w:w="108" w:type="dxa"/>
            <w:bottom w:w="0" w:type="dxa"/>
            <w:right w:w="108" w:type="dxa"/>
          </w:tblCellMar>
        </w:tblPrEx>
        <w:trPr>
          <w:trHeight w:val="32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1.4</w:t>
            </w:r>
          </w:p>
        </w:tc>
        <w:tc>
          <w:tcPr>
            <w:tcW w:w="1590" w:type="dxa"/>
            <w:tcBorders>
              <w:top w:val="single" w:color="auto" w:sz="4" w:space="0"/>
              <w:left w:val="single" w:color="auto" w:sz="4" w:space="0"/>
              <w:bottom w:val="single" w:color="auto" w:sz="4" w:space="0"/>
              <w:right w:val="single" w:color="auto" w:sz="4" w:space="0"/>
            </w:tcBorders>
            <w:vAlign w:val="center"/>
          </w:tcPr>
          <w:p>
            <w:pPr>
              <w:tabs>
                <w:tab w:val="left" w:pos="1425"/>
              </w:tabs>
              <w:spacing w:line="360" w:lineRule="auto"/>
              <w:jc w:val="center"/>
              <w:rPr>
                <w:rFonts w:ascii="宋体" w:hAnsi="宋体" w:eastAsia="宋体" w:cs="宋体"/>
                <w:szCs w:val="22"/>
              </w:rPr>
            </w:pPr>
            <w:r>
              <w:rPr>
                <w:rFonts w:hint="eastAsia" w:ascii="宋体" w:hAnsi="宋体" w:eastAsia="宋体" w:cs="宋体"/>
                <w:szCs w:val="22"/>
              </w:rPr>
              <w:t>联合体投标</w:t>
            </w:r>
          </w:p>
        </w:tc>
        <w:tc>
          <w:tcPr>
            <w:tcW w:w="6214"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eastAsia="宋体" w:cs="宋体"/>
                <w:szCs w:val="22"/>
              </w:rPr>
            </w:pPr>
            <w:r>
              <w:rPr>
                <w:rFonts w:hint="eastAsia" w:ascii="宋体" w:hAnsi="宋体" w:eastAsia="宋体" w:cs="宋体"/>
                <w:szCs w:val="22"/>
              </w:rPr>
              <w:t>是否允许联合体投标：否</w:t>
            </w:r>
          </w:p>
        </w:tc>
      </w:tr>
      <w:tr>
        <w:tblPrEx>
          <w:tblCellMar>
            <w:top w:w="0" w:type="dxa"/>
            <w:left w:w="108" w:type="dxa"/>
            <w:bottom w:w="0" w:type="dxa"/>
            <w:right w:w="108" w:type="dxa"/>
          </w:tblCellMar>
        </w:tblPrEx>
        <w:trPr>
          <w:trHeight w:val="796" w:hRule="atLeast"/>
        </w:trPr>
        <w:tc>
          <w:tcPr>
            <w:tcW w:w="85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kern w:val="0"/>
                <w:szCs w:val="21"/>
              </w:rPr>
            </w:pPr>
            <w:r>
              <w:rPr>
                <w:rFonts w:hint="eastAsia" w:ascii="宋体" w:hAnsi="宋体" w:eastAsia="宋体" w:cs="宋体"/>
                <w:kern w:val="0"/>
                <w:szCs w:val="21"/>
              </w:rPr>
              <w:t>2.2</w:t>
            </w:r>
          </w:p>
        </w:tc>
        <w:tc>
          <w:tcPr>
            <w:tcW w:w="1590" w:type="dxa"/>
            <w:tcBorders>
              <w:top w:val="single" w:color="auto" w:sz="4" w:space="0"/>
              <w:left w:val="single" w:color="auto" w:sz="4" w:space="0"/>
              <w:bottom w:val="single" w:color="auto" w:sz="4" w:space="0"/>
              <w:right w:val="single" w:color="auto" w:sz="4" w:space="0"/>
            </w:tcBorders>
            <w:vAlign w:val="center"/>
          </w:tcPr>
          <w:p>
            <w:pPr>
              <w:shd w:val="clear" w:color="auto" w:fill="FFFFFF"/>
              <w:spacing w:line="360" w:lineRule="auto"/>
              <w:jc w:val="center"/>
              <w:rPr>
                <w:rFonts w:ascii="宋体" w:hAnsi="宋体" w:eastAsia="宋体" w:cs="宋体"/>
                <w:bCs/>
                <w:kern w:val="0"/>
                <w:szCs w:val="21"/>
              </w:rPr>
            </w:pPr>
            <w:r>
              <w:rPr>
                <w:rFonts w:hint="eastAsia" w:ascii="宋体" w:hAnsi="宋体" w:eastAsia="宋体" w:cs="宋体"/>
                <w:szCs w:val="21"/>
              </w:rPr>
              <w:t>*最高限价</w:t>
            </w:r>
          </w:p>
        </w:tc>
        <w:tc>
          <w:tcPr>
            <w:tcW w:w="6214"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eastAsia="宋体" w:cs="宋体"/>
                <w:bCs/>
                <w:kern w:val="0"/>
                <w:szCs w:val="21"/>
              </w:rPr>
            </w:pPr>
            <w:r>
              <w:rPr>
                <w:rFonts w:hint="eastAsia" w:ascii="宋体" w:hAnsi="宋体" w:eastAsia="宋体" w:cs="宋体"/>
                <w:bCs/>
                <w:kern w:val="0"/>
                <w:szCs w:val="21"/>
              </w:rPr>
              <w:t>本项目最高限价为：2820000.00元</w:t>
            </w:r>
          </w:p>
          <w:p>
            <w:pPr>
              <w:spacing w:line="360" w:lineRule="auto"/>
              <w:rPr>
                <w:rFonts w:ascii="宋体" w:hAnsi="宋体" w:eastAsia="宋体" w:cs="宋体"/>
                <w:bCs/>
                <w:kern w:val="0"/>
                <w:szCs w:val="21"/>
              </w:rPr>
            </w:pPr>
            <w:r>
              <w:rPr>
                <w:rFonts w:hint="eastAsia" w:ascii="宋体" w:hAnsi="宋体" w:eastAsia="宋体" w:cs="宋体"/>
                <w:bCs/>
                <w:kern w:val="0"/>
                <w:szCs w:val="21"/>
              </w:rPr>
              <w:t>注：投标报价超过最高限价的按无效标处理。</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4</w:t>
            </w:r>
          </w:p>
        </w:tc>
        <w:tc>
          <w:tcPr>
            <w:tcW w:w="1590" w:type="dxa"/>
            <w:tcBorders>
              <w:top w:val="single" w:color="auto" w:sz="4" w:space="0"/>
              <w:left w:val="single" w:color="auto" w:sz="4" w:space="0"/>
              <w:bottom w:val="single" w:color="auto" w:sz="4" w:space="0"/>
              <w:right w:val="single" w:color="auto" w:sz="4" w:space="0"/>
            </w:tcBorders>
            <w:vAlign w:val="center"/>
          </w:tcPr>
          <w:p>
            <w:pPr>
              <w:tabs>
                <w:tab w:val="left" w:pos="1425"/>
              </w:tabs>
              <w:spacing w:line="360" w:lineRule="auto"/>
              <w:jc w:val="center"/>
              <w:rPr>
                <w:rFonts w:ascii="宋体" w:hAnsi="宋体" w:eastAsia="宋体" w:cs="宋体"/>
                <w:bCs/>
                <w:kern w:val="0"/>
                <w:szCs w:val="21"/>
              </w:rPr>
            </w:pPr>
            <w:r>
              <w:rPr>
                <w:rFonts w:hint="eastAsia" w:ascii="宋体" w:hAnsi="宋体" w:eastAsia="宋体" w:cs="宋体"/>
                <w:bCs/>
                <w:kern w:val="0"/>
                <w:szCs w:val="21"/>
              </w:rPr>
              <w:t>计量单位</w:t>
            </w:r>
          </w:p>
        </w:tc>
        <w:tc>
          <w:tcPr>
            <w:tcW w:w="6214"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eastAsia="宋体" w:cs="宋体"/>
                <w:bCs/>
                <w:kern w:val="0"/>
                <w:szCs w:val="21"/>
              </w:rPr>
            </w:pPr>
            <w:r>
              <w:rPr>
                <w:rFonts w:hint="eastAsia" w:ascii="宋体" w:hAnsi="宋体" w:eastAsia="宋体" w:cs="宋体"/>
                <w:bCs/>
                <w:kern w:val="0"/>
                <w:szCs w:val="21"/>
              </w:rPr>
              <w:t>中华人民共和国法定计量单位</w:t>
            </w:r>
          </w:p>
        </w:tc>
      </w:tr>
      <w:tr>
        <w:trPr>
          <w:trHeight w:val="1250"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6.1</w:t>
            </w:r>
          </w:p>
        </w:tc>
        <w:tc>
          <w:tcPr>
            <w:tcW w:w="1590" w:type="dxa"/>
            <w:tcBorders>
              <w:top w:val="single" w:color="auto" w:sz="4" w:space="0"/>
              <w:left w:val="single" w:color="auto" w:sz="4" w:space="0"/>
              <w:bottom w:val="single" w:color="auto" w:sz="4" w:space="0"/>
              <w:right w:val="single" w:color="auto" w:sz="4" w:space="0"/>
            </w:tcBorders>
            <w:vAlign w:val="center"/>
          </w:tcPr>
          <w:p>
            <w:pPr>
              <w:shd w:val="clear" w:color="auto" w:fill="FFFFFF"/>
              <w:spacing w:line="360" w:lineRule="auto"/>
              <w:jc w:val="center"/>
              <w:rPr>
                <w:rFonts w:ascii="宋体" w:hAnsi="宋体" w:eastAsia="宋体" w:cs="宋体"/>
                <w:szCs w:val="21"/>
              </w:rPr>
            </w:pPr>
            <w:r>
              <w:rPr>
                <w:rFonts w:hint="eastAsia" w:ascii="宋体" w:hAnsi="宋体" w:eastAsia="宋体" w:cs="宋体"/>
                <w:kern w:val="0"/>
                <w:szCs w:val="21"/>
              </w:rPr>
              <w:t>现场考察、开标前答疑会</w:t>
            </w:r>
          </w:p>
        </w:tc>
        <w:tc>
          <w:tcPr>
            <w:tcW w:w="6214"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eastAsia="宋体" w:cs="宋体"/>
                <w:kern w:val="0"/>
                <w:szCs w:val="21"/>
              </w:rPr>
            </w:pPr>
            <w:r>
              <w:rPr>
                <w:rFonts w:hint="eastAsia" w:ascii="宋体" w:hAnsi="宋体" w:eastAsia="宋体" w:cs="宋体"/>
                <w:kern w:val="0"/>
                <w:szCs w:val="21"/>
              </w:rPr>
              <w:t>不组织</w:t>
            </w:r>
          </w:p>
        </w:tc>
      </w:tr>
      <w:tr>
        <w:trPr>
          <w:trHeight w:val="518"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7.1</w:t>
            </w:r>
          </w:p>
        </w:tc>
        <w:tc>
          <w:tcPr>
            <w:tcW w:w="159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2"/>
              </w:rPr>
            </w:pPr>
            <w:r>
              <w:rPr>
                <w:rFonts w:hint="eastAsia" w:ascii="宋体" w:hAnsi="宋体" w:eastAsia="宋体" w:cs="宋体"/>
                <w:szCs w:val="22"/>
              </w:rPr>
              <w:t>是否允许分包</w:t>
            </w:r>
          </w:p>
        </w:tc>
        <w:tc>
          <w:tcPr>
            <w:tcW w:w="6214"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eastAsia="宋体" w:cs="宋体"/>
                <w:szCs w:val="22"/>
              </w:rPr>
            </w:pPr>
            <w:r>
              <w:rPr>
                <w:rFonts w:hint="eastAsia" w:ascii="宋体" w:hAnsi="宋体" w:eastAsia="宋体" w:cs="宋体"/>
                <w:szCs w:val="22"/>
              </w:rPr>
              <w:t>否</w:t>
            </w:r>
          </w:p>
        </w:tc>
      </w:tr>
      <w:tr>
        <w:tblPrEx>
          <w:tblCellMar>
            <w:top w:w="0" w:type="dxa"/>
            <w:left w:w="108" w:type="dxa"/>
            <w:bottom w:w="0" w:type="dxa"/>
            <w:right w:w="108" w:type="dxa"/>
          </w:tblCellMar>
        </w:tblPrEx>
        <w:trPr>
          <w:trHeight w:val="106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b/>
                <w:bCs/>
                <w:kern w:val="0"/>
                <w:szCs w:val="21"/>
              </w:rPr>
            </w:pPr>
            <w:r>
              <w:rPr>
                <w:rFonts w:hint="eastAsia" w:ascii="宋体" w:hAnsi="宋体" w:eastAsia="宋体" w:cs="宋体"/>
                <w:b/>
                <w:bCs/>
                <w:kern w:val="0"/>
                <w:szCs w:val="21"/>
              </w:rPr>
              <w:t>11.3</w:t>
            </w:r>
          </w:p>
        </w:tc>
        <w:tc>
          <w:tcPr>
            <w:tcW w:w="159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b/>
                <w:bCs/>
                <w:kern w:val="0"/>
                <w:szCs w:val="21"/>
              </w:rPr>
            </w:pPr>
            <w:r>
              <w:rPr>
                <w:rFonts w:hint="eastAsia" w:ascii="宋体" w:hAnsi="宋体" w:eastAsia="宋体" w:cs="宋体"/>
                <w:b/>
                <w:bCs/>
                <w:kern w:val="0"/>
                <w:szCs w:val="21"/>
              </w:rPr>
              <w:t>核心产品</w:t>
            </w:r>
          </w:p>
        </w:tc>
        <w:tc>
          <w:tcPr>
            <w:tcW w:w="621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b/>
                <w:bCs/>
                <w:kern w:val="0"/>
                <w:szCs w:val="21"/>
              </w:rPr>
            </w:pPr>
            <w:r>
              <w:rPr>
                <w:rFonts w:hint="eastAsia" w:ascii="宋体" w:hAnsi="宋体" w:eastAsia="宋体" w:cs="宋体"/>
                <w:b/>
                <w:bCs/>
                <w:kern w:val="0"/>
                <w:szCs w:val="21"/>
              </w:rPr>
              <w:t>LKJ2000监控装置模拟模块</w:t>
            </w:r>
          </w:p>
        </w:tc>
      </w:tr>
      <w:tr>
        <w:tblPrEx>
          <w:tblCellMar>
            <w:top w:w="0" w:type="dxa"/>
            <w:left w:w="108" w:type="dxa"/>
            <w:bottom w:w="0" w:type="dxa"/>
            <w:right w:w="108" w:type="dxa"/>
          </w:tblCellMar>
        </w:tblPrEx>
        <w:trPr>
          <w:trHeight w:val="587"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12.3</w:t>
            </w:r>
          </w:p>
        </w:tc>
        <w:tc>
          <w:tcPr>
            <w:tcW w:w="1590" w:type="dxa"/>
            <w:tcBorders>
              <w:top w:val="single" w:color="auto" w:sz="4" w:space="0"/>
              <w:left w:val="single" w:color="auto" w:sz="4" w:space="0"/>
              <w:bottom w:val="single" w:color="auto" w:sz="4" w:space="0"/>
              <w:right w:val="single" w:color="auto" w:sz="4" w:space="0"/>
            </w:tcBorders>
            <w:vAlign w:val="center"/>
          </w:tcPr>
          <w:p>
            <w:pPr>
              <w:shd w:val="clear" w:color="auto" w:fill="FFFFFF"/>
              <w:spacing w:line="360" w:lineRule="auto"/>
              <w:jc w:val="center"/>
              <w:rPr>
                <w:rFonts w:ascii="宋体" w:hAnsi="宋体" w:eastAsia="宋体" w:cs="宋体"/>
                <w:kern w:val="0"/>
                <w:szCs w:val="21"/>
              </w:rPr>
            </w:pPr>
            <w:r>
              <w:rPr>
                <w:rFonts w:hint="eastAsia" w:ascii="宋体" w:hAnsi="宋体" w:eastAsia="宋体" w:cs="宋体"/>
                <w:kern w:val="0"/>
                <w:szCs w:val="21"/>
              </w:rPr>
              <w:t>样品或演示</w:t>
            </w:r>
          </w:p>
        </w:tc>
        <w:tc>
          <w:tcPr>
            <w:tcW w:w="6214"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eastAsia="宋体" w:cs="宋体"/>
              </w:rPr>
            </w:pPr>
            <w:r>
              <w:rPr>
                <w:rFonts w:hint="eastAsia" w:ascii="宋体" w:hAnsi="宋体" w:eastAsia="宋体" w:cs="宋体"/>
                <w:kern w:val="0"/>
                <w:szCs w:val="21"/>
              </w:rPr>
              <w:t>需要提供</w:t>
            </w:r>
          </w:p>
        </w:tc>
      </w:tr>
      <w:tr>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13.1</w:t>
            </w:r>
          </w:p>
        </w:tc>
        <w:tc>
          <w:tcPr>
            <w:tcW w:w="1590" w:type="dxa"/>
            <w:tcBorders>
              <w:top w:val="single" w:color="auto" w:sz="4" w:space="0"/>
              <w:left w:val="single" w:color="auto" w:sz="4" w:space="0"/>
              <w:bottom w:val="single" w:color="auto" w:sz="4" w:space="0"/>
              <w:right w:val="single" w:color="auto" w:sz="4" w:space="0"/>
            </w:tcBorders>
            <w:vAlign w:val="center"/>
          </w:tcPr>
          <w:p>
            <w:pPr>
              <w:shd w:val="clear" w:color="auto" w:fill="FFFFFF"/>
              <w:spacing w:line="360" w:lineRule="auto"/>
              <w:jc w:val="center"/>
              <w:rPr>
                <w:rFonts w:ascii="宋体" w:hAnsi="宋体" w:eastAsia="宋体" w:cs="宋体"/>
                <w:kern w:val="0"/>
                <w:szCs w:val="21"/>
              </w:rPr>
            </w:pPr>
            <w:r>
              <w:rPr>
                <w:rFonts w:hint="eastAsia" w:ascii="宋体" w:hAnsi="宋体" w:eastAsia="宋体" w:cs="宋体"/>
                <w:szCs w:val="21"/>
              </w:rPr>
              <w:t>*</w:t>
            </w:r>
            <w:r>
              <w:rPr>
                <w:rFonts w:hint="eastAsia" w:ascii="宋体" w:hAnsi="宋体" w:eastAsia="宋体" w:cs="宋体"/>
                <w:kern w:val="0"/>
                <w:szCs w:val="21"/>
              </w:rPr>
              <w:t>投标报价货币要求</w:t>
            </w:r>
          </w:p>
        </w:tc>
        <w:tc>
          <w:tcPr>
            <w:tcW w:w="6214"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eastAsia="宋体" w:cs="宋体"/>
                <w:kern w:val="0"/>
                <w:szCs w:val="21"/>
                <w:u w:val="single"/>
              </w:rPr>
            </w:pPr>
            <w:r>
              <w:rPr>
                <w:rFonts w:hint="eastAsia" w:ascii="宋体" w:hAnsi="宋体" w:eastAsia="宋体" w:cs="宋体"/>
                <w:kern w:val="0"/>
                <w:szCs w:val="21"/>
              </w:rPr>
              <w:t>所有投标均按人民币进行报价。</w:t>
            </w:r>
          </w:p>
        </w:tc>
      </w:tr>
      <w:tr>
        <w:tblPrEx>
          <w:tblCellMar>
            <w:top w:w="0" w:type="dxa"/>
            <w:left w:w="108" w:type="dxa"/>
            <w:bottom w:w="0" w:type="dxa"/>
            <w:right w:w="108" w:type="dxa"/>
          </w:tblCellMar>
        </w:tblPrEx>
        <w:trPr>
          <w:trHeight w:val="864" w:hRule="atLeast"/>
        </w:trPr>
        <w:tc>
          <w:tcPr>
            <w:tcW w:w="852" w:type="dxa"/>
            <w:tcBorders>
              <w:top w:val="single" w:color="auto" w:sz="4" w:space="0"/>
              <w:left w:val="single" w:color="auto" w:sz="8" w:space="0"/>
              <w:bottom w:val="single" w:color="auto" w:sz="8"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14.1</w:t>
            </w:r>
          </w:p>
        </w:tc>
        <w:tc>
          <w:tcPr>
            <w:tcW w:w="1590" w:type="dxa"/>
            <w:tcBorders>
              <w:top w:val="single" w:color="auto" w:sz="4" w:space="0"/>
              <w:left w:val="single" w:color="auto" w:sz="4" w:space="0"/>
              <w:bottom w:val="single" w:color="auto" w:sz="8" w:space="0"/>
              <w:right w:val="single" w:color="auto" w:sz="8"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投标保证金</w:t>
            </w:r>
          </w:p>
        </w:tc>
        <w:tc>
          <w:tcPr>
            <w:tcW w:w="6214" w:type="dxa"/>
            <w:tcBorders>
              <w:top w:val="single" w:color="auto" w:sz="4" w:space="0"/>
              <w:left w:val="nil"/>
              <w:bottom w:val="single" w:color="auto" w:sz="8" w:space="0"/>
              <w:right w:val="single" w:color="auto" w:sz="8" w:space="0"/>
            </w:tcBorders>
            <w:vAlign w:val="center"/>
          </w:tcPr>
          <w:p>
            <w:pPr>
              <w:spacing w:line="360" w:lineRule="auto"/>
              <w:rPr>
                <w:rFonts w:ascii="宋体" w:hAnsi="宋体" w:eastAsia="宋体" w:cs="宋体"/>
                <w:szCs w:val="21"/>
              </w:rPr>
            </w:pPr>
            <w:r>
              <w:rPr>
                <w:rFonts w:hint="eastAsia" w:ascii="宋体" w:hAnsi="宋体" w:eastAsia="宋体" w:cs="宋体"/>
                <w:szCs w:val="21"/>
              </w:rPr>
              <w:t>根据豫财购[2019]4号文件的相关规定，本次招标不收取投标保证金</w:t>
            </w:r>
          </w:p>
        </w:tc>
      </w:tr>
      <w:tr>
        <w:tblPrEx>
          <w:tblCellMar>
            <w:top w:w="0" w:type="dxa"/>
            <w:left w:w="108" w:type="dxa"/>
            <w:bottom w:w="0" w:type="dxa"/>
            <w:right w:w="108" w:type="dxa"/>
          </w:tblCellMar>
        </w:tblPrEx>
        <w:trPr>
          <w:trHeight w:val="90" w:hRule="atLeast"/>
        </w:trPr>
        <w:tc>
          <w:tcPr>
            <w:tcW w:w="852" w:type="dxa"/>
            <w:tcBorders>
              <w:top w:val="single" w:color="auto" w:sz="4" w:space="0"/>
              <w:left w:val="single" w:color="auto" w:sz="8" w:space="0"/>
              <w:bottom w:val="single" w:color="auto" w:sz="8"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16.1</w:t>
            </w:r>
          </w:p>
        </w:tc>
        <w:tc>
          <w:tcPr>
            <w:tcW w:w="1590" w:type="dxa"/>
            <w:tcBorders>
              <w:top w:val="single" w:color="auto" w:sz="4" w:space="0"/>
              <w:left w:val="single" w:color="auto" w:sz="4" w:space="0"/>
              <w:bottom w:val="single" w:color="auto" w:sz="8" w:space="0"/>
              <w:right w:val="single" w:color="auto" w:sz="8" w:space="0"/>
            </w:tcBorders>
            <w:vAlign w:val="center"/>
          </w:tcPr>
          <w:p>
            <w:pPr>
              <w:spacing w:line="360" w:lineRule="auto"/>
              <w:jc w:val="center"/>
              <w:rPr>
                <w:rFonts w:ascii="宋体" w:hAnsi="宋体" w:eastAsia="宋体" w:cs="宋体"/>
                <w:szCs w:val="21"/>
              </w:rPr>
            </w:pPr>
            <w:r>
              <w:rPr>
                <w:rFonts w:hint="eastAsia" w:ascii="宋体" w:hAnsi="宋体" w:eastAsia="宋体" w:cs="宋体"/>
                <w:szCs w:val="21"/>
              </w:rPr>
              <w:t>*投标有效期</w:t>
            </w:r>
          </w:p>
        </w:tc>
        <w:tc>
          <w:tcPr>
            <w:tcW w:w="6214" w:type="dxa"/>
            <w:tcBorders>
              <w:top w:val="single" w:color="auto" w:sz="4" w:space="0"/>
              <w:left w:val="nil"/>
              <w:bottom w:val="single" w:color="auto" w:sz="8" w:space="0"/>
              <w:right w:val="single" w:color="auto" w:sz="8" w:space="0"/>
            </w:tcBorders>
            <w:vAlign w:val="center"/>
          </w:tcPr>
          <w:p>
            <w:pPr>
              <w:pStyle w:val="9"/>
              <w:spacing w:line="360" w:lineRule="auto"/>
              <w:rPr>
                <w:rFonts w:ascii="宋体" w:hAnsi="宋体" w:eastAsia="宋体" w:cs="宋体"/>
                <w:kern w:val="0"/>
                <w:szCs w:val="21"/>
              </w:rPr>
            </w:pPr>
            <w:r>
              <w:rPr>
                <w:rFonts w:hint="eastAsia" w:ascii="宋体" w:hAnsi="宋体" w:eastAsia="宋体" w:cs="宋体"/>
                <w:szCs w:val="21"/>
              </w:rPr>
              <w:t>递交投标文件的截止之日起</w:t>
            </w:r>
            <w:r>
              <w:rPr>
                <w:rFonts w:hint="eastAsia" w:ascii="宋体" w:hAnsi="宋体" w:eastAsia="宋体" w:cs="宋体"/>
                <w:szCs w:val="21"/>
                <w:u w:val="single"/>
              </w:rPr>
              <w:t>60</w:t>
            </w:r>
            <w:r>
              <w:rPr>
                <w:rFonts w:hint="eastAsia" w:ascii="宋体" w:hAnsi="宋体" w:eastAsia="宋体" w:cs="宋体"/>
                <w:szCs w:val="21"/>
              </w:rPr>
              <w:t>日历天</w:t>
            </w:r>
          </w:p>
        </w:tc>
      </w:tr>
      <w:tr>
        <w:trPr>
          <w:trHeight w:val="641" w:hRule="atLeast"/>
        </w:trPr>
        <w:tc>
          <w:tcPr>
            <w:tcW w:w="852"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17.1</w:t>
            </w:r>
          </w:p>
        </w:tc>
        <w:tc>
          <w:tcPr>
            <w:tcW w:w="1590" w:type="dxa"/>
            <w:tcBorders>
              <w:top w:val="nil"/>
              <w:left w:val="single" w:color="auto" w:sz="4" w:space="0"/>
              <w:bottom w:val="single" w:color="auto" w:sz="4" w:space="0"/>
              <w:right w:val="single" w:color="auto" w:sz="8"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szCs w:val="21"/>
              </w:rPr>
              <w:t>*投标文件份数及签署盖章要求</w:t>
            </w:r>
          </w:p>
        </w:tc>
        <w:tc>
          <w:tcPr>
            <w:tcW w:w="6214" w:type="dxa"/>
            <w:tcBorders>
              <w:top w:val="nil"/>
              <w:left w:val="nil"/>
              <w:bottom w:val="single" w:color="auto" w:sz="4" w:space="0"/>
              <w:right w:val="single" w:color="auto" w:sz="8" w:space="0"/>
            </w:tcBorders>
            <w:vAlign w:val="center"/>
          </w:tcPr>
          <w:p>
            <w:pPr>
              <w:widowControl/>
              <w:spacing w:line="360" w:lineRule="auto"/>
              <w:rPr>
                <w:rFonts w:ascii="宋体" w:hAnsi="宋体" w:eastAsia="宋体" w:cs="宋体"/>
                <w:szCs w:val="21"/>
              </w:rPr>
            </w:pPr>
            <w:r>
              <w:rPr>
                <w:rFonts w:ascii="宋体" w:hAnsi="宋体" w:eastAsia="宋体" w:cs="宋体"/>
                <w:szCs w:val="21"/>
              </w:rPr>
              <w:t>①</w:t>
            </w:r>
            <w:r>
              <w:rPr>
                <w:rFonts w:hint="eastAsia" w:ascii="宋体" w:hAnsi="宋体" w:eastAsia="宋体" w:cs="宋体"/>
                <w:szCs w:val="21"/>
              </w:rPr>
              <w:t>1份，投标人需要在投标文件接收截止时间前在河南省公共资源交易中心交易系统中上传加密电子投标文件。</w:t>
            </w:r>
          </w:p>
          <w:p>
            <w:pPr>
              <w:spacing w:line="360" w:lineRule="auto"/>
              <w:rPr>
                <w:rFonts w:ascii="宋体" w:hAnsi="宋体" w:eastAsia="宋体" w:cs="宋体"/>
                <w:szCs w:val="21"/>
              </w:rPr>
            </w:pPr>
            <w:r>
              <w:rPr>
                <w:rFonts w:ascii="宋体" w:hAnsi="宋体" w:eastAsia="宋体" w:cs="宋体"/>
                <w:szCs w:val="21"/>
              </w:rPr>
              <w:t>②</w:t>
            </w:r>
            <w:r>
              <w:rPr>
                <w:rFonts w:hint="eastAsia" w:ascii="宋体" w:hAnsi="宋体" w:eastAsia="宋体" w:cs="宋体"/>
                <w:szCs w:val="21"/>
              </w:rPr>
              <w:t>所有要求投标人加盖单位电子签章的地方都应用投标人单位的 CA章。</w:t>
            </w:r>
          </w:p>
          <w:p>
            <w:pPr>
              <w:spacing w:line="360" w:lineRule="auto"/>
              <w:rPr>
                <w:rFonts w:ascii="宋体" w:hAnsi="宋体" w:eastAsia="宋体" w:cs="宋体"/>
                <w:kern w:val="0"/>
                <w:szCs w:val="21"/>
              </w:rPr>
            </w:pPr>
            <w:r>
              <w:rPr>
                <w:rFonts w:ascii="宋体" w:hAnsi="宋体" w:eastAsia="宋体" w:cs="宋体"/>
                <w:szCs w:val="21"/>
              </w:rPr>
              <w:t>③</w:t>
            </w:r>
            <w:r>
              <w:rPr>
                <w:rFonts w:hint="eastAsia" w:ascii="宋体" w:hAnsi="宋体" w:eastAsia="宋体" w:cs="宋体"/>
                <w:szCs w:val="21"/>
              </w:rPr>
              <w:t>所有要求法定代表人或其委托代理人签字或盖个人电子签章的地方都应用法定代表人或其委托代理人的CA 印章（如投标人的法定代表人或委托代理人未办理CA密匙的，投标人须将要求法定代表人或其委托代理人签字或盖章的地方用法定代表人或委托代理人签字后的扫描图片替换到相应格式中）。</w:t>
            </w:r>
          </w:p>
        </w:tc>
      </w:tr>
      <w:tr>
        <w:tblPrEx>
          <w:tblCellMar>
            <w:top w:w="0" w:type="dxa"/>
            <w:left w:w="108" w:type="dxa"/>
            <w:bottom w:w="0" w:type="dxa"/>
            <w:right w:w="108" w:type="dxa"/>
          </w:tblCellMar>
        </w:tblPrEx>
        <w:trPr>
          <w:trHeight w:val="631" w:hRule="atLeast"/>
        </w:trPr>
        <w:tc>
          <w:tcPr>
            <w:tcW w:w="852"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19.1</w:t>
            </w:r>
          </w:p>
        </w:tc>
        <w:tc>
          <w:tcPr>
            <w:tcW w:w="1590" w:type="dxa"/>
            <w:tcBorders>
              <w:top w:val="nil"/>
              <w:left w:val="single" w:color="auto" w:sz="4" w:space="0"/>
              <w:bottom w:val="single" w:color="auto" w:sz="4" w:space="0"/>
              <w:right w:val="single" w:color="auto" w:sz="8"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递交投标文件时间及截止时间</w:t>
            </w:r>
          </w:p>
        </w:tc>
        <w:tc>
          <w:tcPr>
            <w:tcW w:w="6214" w:type="dxa"/>
            <w:tcBorders>
              <w:top w:val="nil"/>
              <w:left w:val="nil"/>
              <w:bottom w:val="single" w:color="auto" w:sz="4" w:space="0"/>
              <w:right w:val="single" w:color="auto" w:sz="8" w:space="0"/>
            </w:tcBorders>
            <w:vAlign w:val="center"/>
          </w:tcPr>
          <w:p>
            <w:pPr>
              <w:widowControl/>
              <w:spacing w:line="360" w:lineRule="auto"/>
              <w:rPr>
                <w:rFonts w:ascii="宋体" w:hAnsi="宋体" w:eastAsia="宋体" w:cs="宋体"/>
                <w:szCs w:val="21"/>
              </w:rPr>
            </w:pPr>
            <w:r>
              <w:rPr>
                <w:rFonts w:hint="eastAsia" w:ascii="宋体" w:hAnsi="宋体" w:eastAsia="宋体" w:cs="宋体"/>
                <w:szCs w:val="21"/>
              </w:rPr>
              <w:t>递交投标文件截止时间：2022年10月08日09时00分（北京时间）前。</w:t>
            </w:r>
          </w:p>
        </w:tc>
      </w:tr>
      <w:tr>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21.1</w:t>
            </w:r>
          </w:p>
        </w:tc>
        <w:tc>
          <w:tcPr>
            <w:tcW w:w="1590" w:type="dxa"/>
            <w:tcBorders>
              <w:top w:val="nil"/>
              <w:left w:val="single" w:color="auto" w:sz="4" w:space="0"/>
              <w:bottom w:val="single" w:color="auto" w:sz="4" w:space="0"/>
              <w:right w:val="single" w:color="auto" w:sz="8"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开标时间、地点</w:t>
            </w:r>
          </w:p>
        </w:tc>
        <w:tc>
          <w:tcPr>
            <w:tcW w:w="6214" w:type="dxa"/>
            <w:tcBorders>
              <w:top w:val="nil"/>
              <w:left w:val="nil"/>
              <w:bottom w:val="single" w:color="auto" w:sz="4" w:space="0"/>
              <w:right w:val="single" w:color="auto" w:sz="8" w:space="0"/>
            </w:tcBorders>
            <w:vAlign w:val="center"/>
          </w:tcPr>
          <w:p>
            <w:pPr>
              <w:widowControl/>
              <w:spacing w:line="360" w:lineRule="auto"/>
              <w:rPr>
                <w:rFonts w:ascii="宋体" w:hAnsi="宋体" w:eastAsia="宋体" w:cs="宋体"/>
                <w:szCs w:val="21"/>
              </w:rPr>
            </w:pPr>
            <w:r>
              <w:rPr>
                <w:rFonts w:hint="eastAsia" w:ascii="宋体" w:hAnsi="宋体" w:eastAsia="宋体" w:cs="宋体"/>
                <w:szCs w:val="21"/>
              </w:rPr>
              <w:t>开标时间：2022年10月08日09时00分（北京时间）。</w:t>
            </w:r>
          </w:p>
          <w:p>
            <w:pPr>
              <w:widowControl/>
              <w:spacing w:line="360" w:lineRule="auto"/>
              <w:rPr>
                <w:rFonts w:ascii="宋体" w:hAnsi="宋体" w:eastAsia="宋体" w:cs="宋体"/>
                <w:kern w:val="0"/>
                <w:szCs w:val="21"/>
              </w:rPr>
            </w:pPr>
            <w:r>
              <w:rPr>
                <w:rFonts w:hint="eastAsia" w:ascii="宋体" w:hAnsi="宋体" w:eastAsia="宋体" w:cs="宋体"/>
                <w:szCs w:val="21"/>
              </w:rPr>
              <w:t>开标地点：</w:t>
            </w:r>
            <w:r>
              <w:rPr>
                <w:rFonts w:hint="eastAsia" w:ascii="宋体" w:hAnsi="宋体" w:eastAsia="宋体" w:cs="宋体"/>
                <w:kern w:val="0"/>
                <w:szCs w:val="21"/>
              </w:rPr>
              <w:t>河南省公共资源交易中心远程开标室(一)-2</w:t>
            </w:r>
          </w:p>
        </w:tc>
      </w:tr>
      <w:tr>
        <w:trPr>
          <w:trHeight w:val="335" w:hRule="atLeast"/>
        </w:trPr>
        <w:tc>
          <w:tcPr>
            <w:tcW w:w="852"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szCs w:val="21"/>
              </w:rPr>
              <w:t>22</w:t>
            </w:r>
          </w:p>
        </w:tc>
        <w:tc>
          <w:tcPr>
            <w:tcW w:w="1590" w:type="dxa"/>
            <w:tcBorders>
              <w:top w:val="nil"/>
              <w:left w:val="single" w:color="auto" w:sz="4" w:space="0"/>
              <w:bottom w:val="single" w:color="auto" w:sz="4" w:space="0"/>
              <w:right w:val="single" w:color="auto" w:sz="8"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资格审查</w:t>
            </w:r>
          </w:p>
        </w:tc>
        <w:tc>
          <w:tcPr>
            <w:tcW w:w="6214" w:type="dxa"/>
            <w:tcBorders>
              <w:top w:val="nil"/>
              <w:left w:val="nil"/>
              <w:bottom w:val="single" w:color="auto" w:sz="4" w:space="0"/>
              <w:right w:val="single" w:color="auto" w:sz="8" w:space="0"/>
            </w:tcBorders>
            <w:vAlign w:val="center"/>
          </w:tcPr>
          <w:p>
            <w:pPr>
              <w:widowControl/>
              <w:spacing w:line="360" w:lineRule="auto"/>
              <w:rPr>
                <w:rFonts w:ascii="宋体" w:hAnsi="宋体" w:eastAsia="宋体" w:cs="宋体"/>
                <w:szCs w:val="21"/>
              </w:rPr>
            </w:pPr>
            <w:r>
              <w:rPr>
                <w:rFonts w:hint="eastAsia" w:ascii="宋体" w:hAnsi="宋体" w:eastAsia="宋体" w:cs="宋体"/>
                <w:szCs w:val="21"/>
              </w:rPr>
              <w:t>由采购人或采购代理机构对投标人的资格依法进行审查，资格审查人员由采购人或采购代理机人员构共 1 人（含）以上单数组成。</w:t>
            </w:r>
          </w:p>
        </w:tc>
      </w:tr>
      <w:tr>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23</w:t>
            </w:r>
          </w:p>
        </w:tc>
        <w:tc>
          <w:tcPr>
            <w:tcW w:w="1590" w:type="dxa"/>
            <w:tcBorders>
              <w:top w:val="nil"/>
              <w:left w:val="single" w:color="auto" w:sz="4" w:space="0"/>
              <w:bottom w:val="single" w:color="auto" w:sz="4" w:space="0"/>
              <w:right w:val="single" w:color="auto" w:sz="8"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评标委员会组成</w:t>
            </w:r>
          </w:p>
        </w:tc>
        <w:tc>
          <w:tcPr>
            <w:tcW w:w="6214" w:type="dxa"/>
            <w:tcBorders>
              <w:top w:val="nil"/>
              <w:left w:val="nil"/>
              <w:bottom w:val="single" w:color="auto" w:sz="4" w:space="0"/>
              <w:right w:val="single" w:color="auto" w:sz="8" w:space="0"/>
            </w:tcBorders>
            <w:vAlign w:val="center"/>
          </w:tcPr>
          <w:p>
            <w:pPr>
              <w:widowControl/>
              <w:spacing w:line="360" w:lineRule="auto"/>
              <w:rPr>
                <w:rFonts w:ascii="宋体" w:hAnsi="宋体" w:eastAsia="宋体" w:cs="宋体"/>
                <w:kern w:val="0"/>
                <w:szCs w:val="21"/>
              </w:rPr>
            </w:pPr>
            <w:r>
              <w:rPr>
                <w:rFonts w:hint="eastAsia" w:ascii="宋体" w:hAnsi="宋体" w:eastAsia="宋体" w:cs="宋体"/>
                <w:szCs w:val="21"/>
              </w:rPr>
              <w:t>评标委员会由采购人代表和评审专家组成，成员人数应当为</w:t>
            </w:r>
            <w:r>
              <w:rPr>
                <w:rFonts w:hint="eastAsia" w:ascii="宋体" w:hAnsi="宋体" w:eastAsia="宋体" w:cs="宋体"/>
                <w:szCs w:val="21"/>
                <w:u w:val="single"/>
              </w:rPr>
              <w:t>5</w:t>
            </w:r>
            <w:r>
              <w:rPr>
                <w:rFonts w:hint="eastAsia" w:ascii="宋体" w:hAnsi="宋体" w:eastAsia="宋体" w:cs="宋体"/>
                <w:szCs w:val="21"/>
              </w:rPr>
              <w:t xml:space="preserve">人以上单数，其中评审专家不得少于成员总数的三分之二，从省级以上财政部门设立的政府采购评审专家库中，通过随机方式抽取。 </w:t>
            </w:r>
          </w:p>
        </w:tc>
      </w:tr>
      <w:tr>
        <w:tblPrEx>
          <w:tblCellMar>
            <w:top w:w="0" w:type="dxa"/>
            <w:left w:w="108" w:type="dxa"/>
            <w:bottom w:w="0" w:type="dxa"/>
            <w:right w:w="108" w:type="dxa"/>
          </w:tblCellMar>
        </w:tblPrEx>
        <w:trPr>
          <w:trHeight w:val="562"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28.2</w:t>
            </w:r>
          </w:p>
        </w:tc>
        <w:tc>
          <w:tcPr>
            <w:tcW w:w="159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评标办法</w:t>
            </w:r>
          </w:p>
        </w:tc>
        <w:tc>
          <w:tcPr>
            <w:tcW w:w="6214"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eastAsia="宋体" w:cs="宋体"/>
                <w:szCs w:val="21"/>
              </w:rPr>
            </w:pPr>
            <w:r>
              <w:rPr>
                <w:rFonts w:hint="eastAsia" w:ascii="宋体" w:hAnsi="宋体" w:eastAsia="宋体" w:cs="宋体"/>
                <w:szCs w:val="21"/>
              </w:rPr>
              <w:t xml:space="preserve">综合评分法     </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31.2</w:t>
            </w:r>
          </w:p>
        </w:tc>
        <w:tc>
          <w:tcPr>
            <w:tcW w:w="159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推荐中标候选人的数量</w:t>
            </w:r>
          </w:p>
        </w:tc>
        <w:tc>
          <w:tcPr>
            <w:tcW w:w="6214"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eastAsia="宋体" w:cs="宋体"/>
                <w:kern w:val="0"/>
                <w:szCs w:val="21"/>
              </w:rPr>
            </w:pPr>
            <w:r>
              <w:rPr>
                <w:rFonts w:hint="eastAsia" w:ascii="宋体" w:hAnsi="宋体" w:eastAsia="宋体" w:cs="宋体"/>
                <w:szCs w:val="21"/>
              </w:rPr>
              <w:t>评标委员会推荐中标候选人的人数：按综合评分由高到低的顺序推荐3名</w:t>
            </w:r>
          </w:p>
        </w:tc>
      </w:tr>
      <w:tr>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33</w:t>
            </w:r>
          </w:p>
        </w:tc>
        <w:tc>
          <w:tcPr>
            <w:tcW w:w="159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确定中标人的方式</w:t>
            </w:r>
          </w:p>
        </w:tc>
        <w:tc>
          <w:tcPr>
            <w:tcW w:w="6214"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eastAsia="宋体" w:cs="宋体"/>
                <w:kern w:val="0"/>
                <w:szCs w:val="21"/>
              </w:rPr>
            </w:pPr>
            <w:r>
              <w:rPr>
                <w:rFonts w:hint="eastAsia" w:ascii="宋体" w:hAnsi="宋体" w:eastAsia="宋体" w:cs="宋体"/>
                <w:kern w:val="0"/>
                <w:szCs w:val="21"/>
              </w:rPr>
              <w:t>中标人数量：</w:t>
            </w:r>
            <w:r>
              <w:rPr>
                <w:rFonts w:hint="eastAsia" w:ascii="宋体" w:hAnsi="宋体" w:eastAsia="宋体" w:cs="宋体"/>
                <w:kern w:val="0"/>
                <w:szCs w:val="21"/>
                <w:u w:val="single"/>
              </w:rPr>
              <w:t xml:space="preserve"> 1名 </w:t>
            </w:r>
          </w:p>
          <w:p>
            <w:pPr>
              <w:widowControl/>
              <w:spacing w:line="360" w:lineRule="auto"/>
              <w:rPr>
                <w:rFonts w:ascii="宋体" w:hAnsi="宋体" w:eastAsia="宋体" w:cs="宋体"/>
                <w:kern w:val="0"/>
                <w:szCs w:val="21"/>
                <w:u w:val="single"/>
              </w:rPr>
            </w:pPr>
            <w:r>
              <w:rPr>
                <w:rFonts w:hint="eastAsia" w:ascii="宋体" w:hAnsi="宋体" w:eastAsia="宋体" w:cs="宋体"/>
                <w:kern w:val="0"/>
                <w:szCs w:val="21"/>
              </w:rPr>
              <w:t>采购人确认中标人</w:t>
            </w:r>
          </w:p>
        </w:tc>
      </w:tr>
      <w:tr>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37.1</w:t>
            </w:r>
          </w:p>
        </w:tc>
        <w:tc>
          <w:tcPr>
            <w:tcW w:w="159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szCs w:val="21"/>
              </w:rPr>
              <w:t>本项目是否为中小企业预留合同</w:t>
            </w:r>
          </w:p>
        </w:tc>
        <w:tc>
          <w:tcPr>
            <w:tcW w:w="6214"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eastAsia="宋体" w:cs="宋体"/>
              </w:rPr>
            </w:pPr>
            <w:r>
              <w:rPr>
                <w:rFonts w:hint="eastAsia" w:ascii="宋体" w:hAnsi="宋体" w:eastAsia="宋体" w:cs="宋体"/>
              </w:rPr>
              <w:t>否</w:t>
            </w:r>
          </w:p>
        </w:tc>
      </w:tr>
      <w:tr>
        <w:trPr>
          <w:trHeight w:val="690"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38.1</w:t>
            </w:r>
          </w:p>
        </w:tc>
        <w:tc>
          <w:tcPr>
            <w:tcW w:w="1590" w:type="dxa"/>
            <w:tcBorders>
              <w:top w:val="single" w:color="auto" w:sz="4" w:space="0"/>
              <w:left w:val="single" w:color="auto" w:sz="4" w:space="0"/>
              <w:bottom w:val="single" w:color="auto" w:sz="4" w:space="0"/>
              <w:right w:val="single" w:color="auto" w:sz="4" w:space="0"/>
            </w:tcBorders>
            <w:vAlign w:val="center"/>
          </w:tcPr>
          <w:p>
            <w:pPr>
              <w:shd w:val="clear" w:color="auto" w:fill="FFFFFF"/>
              <w:spacing w:line="360" w:lineRule="auto"/>
              <w:jc w:val="center"/>
              <w:rPr>
                <w:rFonts w:ascii="宋体" w:hAnsi="宋体" w:eastAsia="宋体" w:cs="宋体"/>
                <w:kern w:val="0"/>
                <w:szCs w:val="21"/>
              </w:rPr>
            </w:pPr>
            <w:r>
              <w:rPr>
                <w:rFonts w:hint="eastAsia" w:ascii="宋体" w:hAnsi="宋体" w:eastAsia="宋体" w:cs="宋体"/>
                <w:szCs w:val="21"/>
              </w:rPr>
              <w:t>履约保证金</w:t>
            </w:r>
          </w:p>
        </w:tc>
        <w:tc>
          <w:tcPr>
            <w:tcW w:w="6214" w:type="dxa"/>
            <w:tcBorders>
              <w:top w:val="single" w:color="auto" w:sz="4" w:space="0"/>
              <w:left w:val="single" w:color="auto" w:sz="4" w:space="0"/>
              <w:bottom w:val="single" w:color="auto" w:sz="4" w:space="0"/>
              <w:right w:val="single" w:color="auto" w:sz="4" w:space="0"/>
            </w:tcBorders>
            <w:vAlign w:val="center"/>
          </w:tcPr>
          <w:p>
            <w:pPr>
              <w:shd w:val="clear" w:color="auto" w:fill="FFFFFF"/>
              <w:spacing w:line="360" w:lineRule="auto"/>
              <w:jc w:val="left"/>
              <w:rPr>
                <w:rFonts w:ascii="宋体" w:hAnsi="宋体" w:eastAsia="宋体" w:cs="宋体"/>
                <w:kern w:val="0"/>
                <w:szCs w:val="21"/>
              </w:rPr>
            </w:pPr>
            <w:r>
              <w:rPr>
                <w:rFonts w:hint="eastAsia" w:ascii="宋体" w:hAnsi="宋体" w:eastAsia="宋体" w:cs="宋体"/>
                <w:szCs w:val="21"/>
              </w:rPr>
              <w:t>无</w:t>
            </w:r>
          </w:p>
        </w:tc>
      </w:tr>
      <w:tr>
        <w:tblPrEx>
          <w:tblCellMar>
            <w:top w:w="0" w:type="dxa"/>
            <w:left w:w="108" w:type="dxa"/>
            <w:bottom w:w="0" w:type="dxa"/>
            <w:right w:w="108" w:type="dxa"/>
          </w:tblCellMar>
        </w:tblPrEx>
        <w:trPr>
          <w:trHeight w:val="380" w:hRule="atLeast"/>
        </w:trPr>
        <w:tc>
          <w:tcPr>
            <w:tcW w:w="852" w:type="dxa"/>
            <w:tcBorders>
              <w:top w:val="nil"/>
              <w:left w:val="single" w:color="auto" w:sz="8" w:space="0"/>
              <w:bottom w:val="single" w:color="auto" w:sz="8"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39</w:t>
            </w:r>
          </w:p>
        </w:tc>
        <w:tc>
          <w:tcPr>
            <w:tcW w:w="1590" w:type="dxa"/>
            <w:tcBorders>
              <w:top w:val="nil"/>
              <w:left w:val="single" w:color="auto" w:sz="4" w:space="0"/>
              <w:bottom w:val="single" w:color="auto" w:sz="8" w:space="0"/>
              <w:right w:val="single" w:color="auto" w:sz="8"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招标代理服务费</w:t>
            </w:r>
          </w:p>
        </w:tc>
        <w:tc>
          <w:tcPr>
            <w:tcW w:w="6214" w:type="dxa"/>
            <w:tcBorders>
              <w:top w:val="nil"/>
              <w:left w:val="nil"/>
              <w:bottom w:val="single" w:color="auto" w:sz="8" w:space="0"/>
              <w:right w:val="single" w:color="auto" w:sz="8" w:space="0"/>
            </w:tcBorders>
            <w:vAlign w:val="center"/>
          </w:tcPr>
          <w:p>
            <w:pPr>
              <w:widowControl/>
              <w:spacing w:line="360" w:lineRule="auto"/>
              <w:rPr>
                <w:rFonts w:ascii="宋体" w:hAnsi="宋体" w:eastAsia="宋体" w:cs="宋体"/>
                <w:kern w:val="0"/>
                <w:szCs w:val="21"/>
              </w:rPr>
            </w:pPr>
            <w:r>
              <w:rPr>
                <w:rFonts w:hint="eastAsia" w:ascii="宋体" w:hAnsi="宋体" w:eastAsia="宋体" w:cs="宋体"/>
                <w:kern w:val="0"/>
                <w:szCs w:val="21"/>
              </w:rPr>
              <w:t>本项目采购代理服务费由</w:t>
            </w:r>
            <w:r>
              <w:rPr>
                <w:rFonts w:hint="eastAsia" w:ascii="宋体" w:hAnsi="宋体" w:eastAsia="宋体" w:cs="宋体"/>
                <w:kern w:val="0"/>
                <w:szCs w:val="21"/>
                <w:u w:val="single"/>
              </w:rPr>
              <w:t xml:space="preserve"> 中标人 </w:t>
            </w:r>
            <w:r>
              <w:rPr>
                <w:rFonts w:hint="eastAsia" w:ascii="宋体" w:hAnsi="宋体" w:eastAsia="宋体" w:cs="宋体"/>
                <w:kern w:val="0"/>
                <w:szCs w:val="21"/>
              </w:rPr>
              <w:t>向采购代理机构予以支付。支付标准：中标金额的百分之一点五。</w:t>
            </w:r>
          </w:p>
        </w:tc>
      </w:tr>
      <w:tr>
        <w:tblPrEx>
          <w:tblCellMar>
            <w:top w:w="0" w:type="dxa"/>
            <w:left w:w="108" w:type="dxa"/>
            <w:bottom w:w="0" w:type="dxa"/>
            <w:right w:w="108" w:type="dxa"/>
          </w:tblCellMar>
        </w:tblPrEx>
        <w:trPr>
          <w:trHeight w:val="375" w:hRule="atLeast"/>
        </w:trPr>
        <w:tc>
          <w:tcPr>
            <w:tcW w:w="852" w:type="dxa"/>
            <w:tcBorders>
              <w:top w:val="single" w:color="auto" w:sz="4" w:space="0"/>
              <w:left w:val="single" w:color="auto" w:sz="8" w:space="0"/>
              <w:bottom w:val="single" w:color="auto" w:sz="4"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42.3</w:t>
            </w:r>
          </w:p>
        </w:tc>
        <w:tc>
          <w:tcPr>
            <w:tcW w:w="1590" w:type="dxa"/>
            <w:tcBorders>
              <w:top w:val="single" w:color="auto" w:sz="4" w:space="0"/>
              <w:left w:val="single" w:color="auto" w:sz="4" w:space="0"/>
              <w:bottom w:val="single" w:color="auto" w:sz="4" w:space="0"/>
              <w:right w:val="single" w:color="auto" w:sz="8"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质疑</w:t>
            </w:r>
          </w:p>
        </w:tc>
        <w:tc>
          <w:tcPr>
            <w:tcW w:w="6214" w:type="dxa"/>
            <w:tcBorders>
              <w:top w:val="single" w:color="auto" w:sz="4" w:space="0"/>
              <w:left w:val="nil"/>
              <w:bottom w:val="single" w:color="auto" w:sz="4" w:space="0"/>
              <w:right w:val="single" w:color="auto" w:sz="8" w:space="0"/>
            </w:tcBorders>
            <w:vAlign w:val="center"/>
          </w:tcPr>
          <w:p>
            <w:pPr>
              <w:widowControl/>
              <w:spacing w:line="360" w:lineRule="auto"/>
              <w:ind w:firstLine="630" w:firstLineChars="300"/>
              <w:rPr>
                <w:rFonts w:ascii="宋体" w:hAnsi="宋体" w:eastAsia="宋体" w:cs="宋体"/>
                <w:kern w:val="0"/>
                <w:szCs w:val="21"/>
              </w:rPr>
            </w:pPr>
            <w:r>
              <w:rPr>
                <w:rFonts w:hint="eastAsia" w:ascii="宋体" w:hAnsi="宋体" w:eastAsia="宋体" w:cs="宋体"/>
                <w:kern w:val="0"/>
                <w:szCs w:val="21"/>
              </w:rPr>
              <w:t>一、投标人认为自己的权益受到损害的，可以在知道或者应知其权益受到损害之日起七个工作日内，向采购代理机构提出质疑。</w:t>
            </w:r>
          </w:p>
          <w:p>
            <w:pPr>
              <w:widowControl/>
              <w:spacing w:line="360" w:lineRule="auto"/>
              <w:ind w:firstLine="630" w:firstLineChars="300"/>
              <w:rPr>
                <w:rFonts w:ascii="宋体" w:hAnsi="宋体" w:eastAsia="宋体" w:cs="宋体"/>
                <w:kern w:val="0"/>
                <w:szCs w:val="21"/>
              </w:rPr>
            </w:pPr>
            <w:r>
              <w:rPr>
                <w:rFonts w:hint="eastAsia" w:ascii="宋体" w:hAnsi="宋体" w:eastAsia="宋体" w:cs="宋体"/>
                <w:kern w:val="0"/>
                <w:szCs w:val="21"/>
              </w:rPr>
              <w:t>1.接收质疑函的方式：书面形式纸质质疑函</w:t>
            </w:r>
          </w:p>
          <w:p>
            <w:pPr>
              <w:widowControl/>
              <w:spacing w:line="360" w:lineRule="auto"/>
              <w:ind w:firstLine="630" w:firstLineChars="300"/>
              <w:rPr>
                <w:rFonts w:ascii="宋体" w:hAnsi="宋体" w:eastAsia="宋体" w:cs="宋体"/>
                <w:kern w:val="0"/>
                <w:szCs w:val="21"/>
              </w:rPr>
            </w:pPr>
            <w:r>
              <w:rPr>
                <w:rFonts w:hint="eastAsia" w:ascii="宋体" w:hAnsi="宋体" w:eastAsia="宋体" w:cs="宋体"/>
                <w:kern w:val="0"/>
                <w:szCs w:val="21"/>
              </w:rPr>
              <w:t>联系单位：河南正禄招标代理有限公司</w:t>
            </w:r>
          </w:p>
          <w:p>
            <w:pPr>
              <w:widowControl/>
              <w:spacing w:line="360" w:lineRule="auto"/>
              <w:ind w:firstLine="630" w:firstLineChars="300"/>
              <w:rPr>
                <w:rFonts w:ascii="宋体" w:hAnsi="宋体" w:eastAsia="宋体" w:cs="宋体"/>
                <w:kern w:val="0"/>
                <w:szCs w:val="21"/>
              </w:rPr>
            </w:pPr>
            <w:r>
              <w:rPr>
                <w:rFonts w:hint="eastAsia" w:ascii="宋体" w:hAnsi="宋体" w:eastAsia="宋体" w:cs="宋体"/>
                <w:kern w:val="0"/>
                <w:szCs w:val="21"/>
              </w:rPr>
              <w:t xml:space="preserve">联系人：陈诗涵 </w:t>
            </w:r>
          </w:p>
          <w:p>
            <w:pPr>
              <w:widowControl/>
              <w:spacing w:line="360" w:lineRule="auto"/>
              <w:ind w:firstLine="630" w:firstLineChars="300"/>
              <w:rPr>
                <w:rFonts w:ascii="宋体" w:hAnsi="宋体" w:eastAsia="宋体" w:cs="宋体"/>
                <w:kern w:val="0"/>
                <w:szCs w:val="21"/>
              </w:rPr>
            </w:pPr>
            <w:r>
              <w:rPr>
                <w:rFonts w:hint="eastAsia" w:ascii="宋体" w:hAnsi="宋体" w:eastAsia="宋体" w:cs="宋体"/>
                <w:kern w:val="0"/>
                <w:szCs w:val="21"/>
              </w:rPr>
              <w:t>联系电话：</w:t>
            </w:r>
            <w:r>
              <w:rPr>
                <w:rFonts w:hint="eastAsia" w:hAnsi="宋体" w:eastAsia="宋体" w:cs="宋体"/>
                <w:kern w:val="0"/>
              </w:rPr>
              <w:t>0371-53301569</w:t>
            </w:r>
          </w:p>
          <w:p>
            <w:pPr>
              <w:widowControl/>
              <w:spacing w:line="360" w:lineRule="auto"/>
              <w:ind w:firstLine="630" w:firstLineChars="300"/>
              <w:rPr>
                <w:rFonts w:ascii="宋体" w:hAnsi="宋体" w:eastAsia="宋体" w:cs="宋体"/>
                <w:kern w:val="0"/>
                <w:szCs w:val="21"/>
              </w:rPr>
            </w:pPr>
            <w:r>
              <w:rPr>
                <w:rFonts w:hint="eastAsia" w:ascii="宋体" w:hAnsi="宋体" w:eastAsia="宋体" w:cs="宋体"/>
                <w:kern w:val="0"/>
                <w:szCs w:val="21"/>
              </w:rPr>
              <w:t xml:space="preserve">通讯地址：河南省郑州市郑东新区白沙镇通惠路31号府苑小区1号楼1单元402号  </w:t>
            </w:r>
          </w:p>
          <w:p>
            <w:pPr>
              <w:widowControl/>
              <w:spacing w:line="360" w:lineRule="auto"/>
              <w:ind w:firstLine="630" w:firstLineChars="300"/>
              <w:rPr>
                <w:rFonts w:ascii="宋体" w:hAnsi="宋体" w:eastAsia="宋体" w:cs="宋体"/>
                <w:kern w:val="0"/>
                <w:szCs w:val="21"/>
              </w:rPr>
            </w:pPr>
            <w:r>
              <w:rPr>
                <w:rFonts w:hint="eastAsia" w:ascii="宋体" w:hAnsi="宋体" w:eastAsia="宋体" w:cs="宋体"/>
                <w:kern w:val="0"/>
                <w:szCs w:val="21"/>
              </w:rPr>
              <w:t>2.质疑函的内容、格式：按照政府采购质疑和投诉办法（中华人民共和国财政部令94号）以书面形式向采购人或采购代理机构提出质疑，逾期不再接收。质疑格式、内容应当是应符合相关规定和省级以上财政部门制定的《政府采购质疑函范本》格式上下载的格式填写书写质疑函，并提供证明材料及程序进行质疑。</w:t>
            </w:r>
          </w:p>
          <w:p>
            <w:pPr>
              <w:widowControl/>
              <w:spacing w:line="360" w:lineRule="auto"/>
              <w:ind w:firstLine="630" w:firstLineChars="300"/>
              <w:rPr>
                <w:rFonts w:ascii="宋体" w:hAnsi="宋体" w:eastAsia="宋体" w:cs="宋体"/>
                <w:kern w:val="0"/>
                <w:szCs w:val="21"/>
              </w:rPr>
            </w:pPr>
            <w:r>
              <w:rPr>
                <w:rFonts w:hint="eastAsia" w:ascii="宋体" w:hAnsi="宋体" w:eastAsia="宋体" w:cs="宋体"/>
                <w:kern w:val="0"/>
                <w:szCs w:val="21"/>
              </w:rPr>
              <w:t>二、 在法定质疑期内投标人针对同一采购程序环节的质疑应当一次性提出，逾期依法不予接收。（采购程序环节分为：采购文件、采购过程、中标或者中标结果）</w:t>
            </w:r>
          </w:p>
        </w:tc>
      </w:tr>
      <w:tr>
        <w:tblPrEx>
          <w:tblCellMar>
            <w:top w:w="0" w:type="dxa"/>
            <w:left w:w="108" w:type="dxa"/>
            <w:bottom w:w="0" w:type="dxa"/>
            <w:right w:w="108" w:type="dxa"/>
          </w:tblCellMar>
        </w:tblPrEx>
        <w:trPr>
          <w:trHeight w:val="701" w:hRule="atLeast"/>
        </w:trPr>
        <w:tc>
          <w:tcPr>
            <w:tcW w:w="852" w:type="dxa"/>
            <w:tcBorders>
              <w:top w:val="single" w:color="auto" w:sz="4" w:space="0"/>
              <w:left w:val="single" w:color="auto" w:sz="8" w:space="0"/>
              <w:bottom w:val="single" w:color="auto" w:sz="4" w:space="0"/>
              <w:right w:val="single" w:color="auto" w:sz="4" w:space="0"/>
            </w:tcBorders>
            <w:vAlign w:val="center"/>
          </w:tcPr>
          <w:p>
            <w:pPr>
              <w:spacing w:line="360" w:lineRule="auto"/>
              <w:jc w:val="center"/>
              <w:rPr>
                <w:rFonts w:ascii="宋体" w:hAnsi="宋体" w:eastAsia="宋体" w:cs="宋体"/>
              </w:rPr>
            </w:pPr>
            <w:r>
              <w:rPr>
                <w:rFonts w:hint="eastAsia" w:ascii="宋体" w:hAnsi="宋体" w:eastAsia="宋体" w:cs="宋体"/>
              </w:rPr>
              <w:t>44</w:t>
            </w:r>
          </w:p>
        </w:tc>
        <w:tc>
          <w:tcPr>
            <w:tcW w:w="1590" w:type="dxa"/>
            <w:tcBorders>
              <w:top w:val="single" w:color="auto" w:sz="4" w:space="0"/>
              <w:left w:val="single" w:color="auto" w:sz="4" w:space="0"/>
              <w:bottom w:val="single" w:color="auto" w:sz="4" w:space="0"/>
              <w:right w:val="single" w:color="auto" w:sz="8" w:space="0"/>
            </w:tcBorders>
            <w:vAlign w:val="center"/>
          </w:tcPr>
          <w:p>
            <w:pPr>
              <w:spacing w:line="360" w:lineRule="auto"/>
              <w:jc w:val="center"/>
              <w:rPr>
                <w:rFonts w:ascii="宋体" w:hAnsi="宋体" w:eastAsia="宋体" w:cs="宋体"/>
              </w:rPr>
            </w:pPr>
            <w:r>
              <w:rPr>
                <w:rFonts w:hint="eastAsia" w:ascii="宋体" w:hAnsi="宋体" w:eastAsia="宋体" w:cs="宋体"/>
                <w:szCs w:val="21"/>
              </w:rPr>
              <w:t>*</w:t>
            </w:r>
            <w:r>
              <w:rPr>
                <w:rFonts w:hint="eastAsia" w:ascii="宋体" w:hAnsi="宋体" w:eastAsia="宋体" w:cs="宋体"/>
              </w:rPr>
              <w:t>付款方式</w:t>
            </w:r>
          </w:p>
        </w:tc>
        <w:tc>
          <w:tcPr>
            <w:tcW w:w="6214" w:type="dxa"/>
            <w:tcBorders>
              <w:top w:val="single" w:color="auto" w:sz="4" w:space="0"/>
              <w:left w:val="nil"/>
              <w:bottom w:val="single" w:color="auto" w:sz="4" w:space="0"/>
              <w:right w:val="single" w:color="auto" w:sz="8" w:space="0"/>
            </w:tcBorders>
            <w:vAlign w:val="center"/>
          </w:tcPr>
          <w:p>
            <w:pPr>
              <w:spacing w:line="360" w:lineRule="auto"/>
              <w:rPr>
                <w:rFonts w:asciiTheme="minorEastAsia" w:hAnsiTheme="minorEastAsia" w:eastAsiaTheme="minorEastAsia"/>
              </w:rPr>
            </w:pPr>
            <w:r>
              <w:rPr>
                <w:rFonts w:hint="eastAsia" w:asciiTheme="minorEastAsia" w:hAnsiTheme="minorEastAsia" w:eastAsiaTheme="minorEastAsia"/>
              </w:rPr>
              <w:t>项目安装调试完成经验收合格后，15个工作日内一次性转账支付合同金额的95%；剩余5%留为质保金，在质保期满后一次性无息付清。</w:t>
            </w:r>
          </w:p>
        </w:tc>
      </w:tr>
      <w:tr>
        <w:tblPrEx>
          <w:tblCellMar>
            <w:top w:w="0" w:type="dxa"/>
            <w:left w:w="108" w:type="dxa"/>
            <w:bottom w:w="0" w:type="dxa"/>
            <w:right w:w="108" w:type="dxa"/>
          </w:tblCellMar>
        </w:tblPrEx>
        <w:trPr>
          <w:trHeight w:val="357" w:hRule="atLeast"/>
        </w:trPr>
        <w:tc>
          <w:tcPr>
            <w:tcW w:w="852" w:type="dxa"/>
            <w:tcBorders>
              <w:top w:val="single" w:color="auto" w:sz="4" w:space="0"/>
              <w:left w:val="single" w:color="auto" w:sz="8" w:space="0"/>
              <w:bottom w:val="single" w:color="auto" w:sz="8" w:space="0"/>
              <w:right w:val="single" w:color="auto" w:sz="4"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45</w:t>
            </w:r>
          </w:p>
        </w:tc>
        <w:tc>
          <w:tcPr>
            <w:tcW w:w="1590" w:type="dxa"/>
            <w:tcBorders>
              <w:top w:val="single" w:color="auto" w:sz="4" w:space="0"/>
              <w:left w:val="single" w:color="auto" w:sz="4" w:space="0"/>
              <w:bottom w:val="single" w:color="auto" w:sz="8" w:space="0"/>
              <w:right w:val="single" w:color="auto" w:sz="8" w:space="0"/>
            </w:tcBorders>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其他注意事项</w:t>
            </w:r>
          </w:p>
        </w:tc>
        <w:tc>
          <w:tcPr>
            <w:tcW w:w="6214" w:type="dxa"/>
            <w:tcBorders>
              <w:top w:val="single" w:color="auto" w:sz="4" w:space="0"/>
              <w:left w:val="nil"/>
              <w:bottom w:val="single" w:color="auto" w:sz="8" w:space="0"/>
              <w:right w:val="single" w:color="auto" w:sz="8" w:space="0"/>
            </w:tcBorders>
            <w:vAlign w:val="center"/>
          </w:tcPr>
          <w:p>
            <w:pPr>
              <w:pStyle w:val="9"/>
              <w:spacing w:line="360" w:lineRule="auto"/>
              <w:rPr>
                <w:rFonts w:ascii="宋体" w:hAnsi="宋体" w:eastAsia="宋体" w:cs="宋体"/>
                <w:szCs w:val="21"/>
              </w:rPr>
            </w:pPr>
            <w:r>
              <w:rPr>
                <w:rFonts w:hint="eastAsia" w:ascii="宋体" w:hAnsi="宋体" w:eastAsia="宋体" w:cs="宋体"/>
                <w:szCs w:val="21"/>
              </w:rPr>
              <w:t>解释权：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人须知、评标办法、投标文件格式的先后顺序解释；同一组成文件中就同一事项的规定或约定不一致的，以编排顺序在后者为准；同一组成文件不同版本之间有不一致的，以形成时间在后者为准。</w:t>
            </w:r>
          </w:p>
        </w:tc>
      </w:tr>
    </w:tbl>
    <w:p>
      <w:pPr>
        <w:adjustRightInd w:val="0"/>
        <w:snapToGrid w:val="0"/>
        <w:spacing w:line="360" w:lineRule="auto"/>
        <w:jc w:val="left"/>
        <w:rPr>
          <w:rFonts w:ascii="宋体" w:hAnsi="宋体" w:eastAsia="宋体" w:cs="宋体"/>
          <w:sz w:val="24"/>
        </w:rPr>
      </w:pPr>
      <w:bookmarkStart w:id="8" w:name="_Toc5398"/>
      <w:r>
        <w:rPr>
          <w:rFonts w:hint="eastAsia" w:ascii="宋体" w:hAnsi="宋体" w:eastAsia="宋体" w:cs="宋体"/>
          <w:sz w:val="22"/>
          <w:szCs w:val="22"/>
        </w:rPr>
        <w:t>注：标*项为重要指标，投标人须逐条响应，否则按无效标处理</w:t>
      </w:r>
      <w:r>
        <w:rPr>
          <w:rFonts w:hint="eastAsia" w:ascii="宋体" w:hAnsi="宋体" w:eastAsia="宋体" w:cs="宋体"/>
          <w:sz w:val="24"/>
        </w:rPr>
        <w:t>。</w:t>
      </w:r>
    </w:p>
    <w:p>
      <w:pPr>
        <w:rPr>
          <w:rFonts w:ascii="宋体" w:hAnsi="宋体" w:eastAsia="宋体" w:cs="宋体"/>
        </w:rPr>
      </w:pPr>
      <w:bookmarkStart w:id="9" w:name="_Toc30384_WPSOffice_Level2"/>
      <w:r>
        <w:rPr>
          <w:rFonts w:hint="eastAsia" w:ascii="宋体" w:hAnsi="宋体" w:eastAsia="宋体" w:cs="宋体"/>
        </w:rPr>
        <w:br w:type="page"/>
      </w:r>
    </w:p>
    <w:p>
      <w:pPr>
        <w:pStyle w:val="4"/>
        <w:adjustRightInd w:val="0"/>
        <w:snapToGrid w:val="0"/>
        <w:spacing w:before="0" w:after="0" w:line="360" w:lineRule="auto"/>
        <w:jc w:val="left"/>
        <w:rPr>
          <w:rFonts w:ascii="宋体" w:hAnsi="宋体" w:eastAsia="宋体" w:cs="宋体"/>
        </w:rPr>
      </w:pPr>
      <w:r>
        <w:rPr>
          <w:rFonts w:hint="eastAsia" w:ascii="宋体" w:hAnsi="宋体" w:eastAsia="宋体" w:cs="宋体"/>
        </w:rPr>
        <w:t>二 总则</w:t>
      </w:r>
      <w:bookmarkEnd w:id="8"/>
      <w:bookmarkEnd w:id="9"/>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1.采购人、采购代理机构及投标人</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1.1 采购人：是指依法进行政府采购的国家机关、事业单位、团体组织。本项目采购人见投标人须知表1.1款。</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1.2 采购代理机构：是指集中采购机构或从事采购代理业务的社会中介机构，本项目的采购代理机构见投标人须知表1.2款。</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1.3 投标人：是指向采购人提供货物、工程或者服务的法人、非法人组织或者自然人。本项目的投标人及其投标货物须满足以下条件：</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1.3.1 在中华人民共和国境内注册，能够独立承担民事责任，有生产或供应能力的本国投标人。</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1.3.2 具备《中华人民共和国政府采购法》第二十二条关于投标人条件的规定。</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1.3.3 以采购代理机构认可的方式获得了本项目的招标文件。</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1.3.4 遵守本项目采购人本级和上级财政部门政府采购的有关规定。</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1.3.5 符合投标人须知表1.3.5款中规定的资格条件。</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1.3.6若投标人须知表1.3.6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海关境内，但不限制满足招标文件要求的国内产品参与投标。</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若投标人须知表1.3.6款中未写明允许采购进口产品，如投标人所投产品为进口产品，其投标将被认定为</w:t>
      </w:r>
      <w:r>
        <w:rPr>
          <w:rFonts w:hint="eastAsia" w:ascii="宋体" w:hAnsi="宋体" w:eastAsia="宋体" w:cs="宋体"/>
          <w:b/>
          <w:bCs/>
          <w:szCs w:val="21"/>
        </w:rPr>
        <w:t>投标无效</w:t>
      </w:r>
      <w:r>
        <w:rPr>
          <w:rFonts w:hint="eastAsia" w:ascii="宋体" w:hAnsi="宋体" w:eastAsia="宋体" w:cs="宋体"/>
          <w:szCs w:val="21"/>
        </w:rPr>
        <w:t>。</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1.3.7 若投标人须知表1.3.7款中写明专门面向中小企业采购的，中小企业需</w:t>
      </w:r>
      <w:r>
        <w:rPr>
          <w:rFonts w:hint="eastAsia" w:ascii="宋体" w:hAnsi="宋体" w:eastAsia="宋体" w:cs="宋体"/>
        </w:rPr>
        <w:t>根据《财政部 工业和信息化部关于印发&lt;政府采购促进中小企业发展管理办法&gt;的通知》（财库〔2020〕46号）的相关规定提供中小企业声明函</w:t>
      </w:r>
      <w:r>
        <w:rPr>
          <w:rFonts w:hint="eastAsia" w:ascii="宋体" w:hAnsi="宋体" w:eastAsia="宋体" w:cs="宋体"/>
          <w:szCs w:val="21"/>
        </w:rPr>
        <w:t>。</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1.3.8若投标人须知表1.3.8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投标无效。</w:t>
      </w:r>
    </w:p>
    <w:p>
      <w:pPr>
        <w:pStyle w:val="55"/>
        <w:spacing w:line="360" w:lineRule="auto"/>
        <w:rPr>
          <w:rFonts w:ascii="宋体" w:hAnsi="宋体" w:cs="宋体"/>
          <w:szCs w:val="21"/>
        </w:rPr>
      </w:pPr>
      <w:r>
        <w:rPr>
          <w:rFonts w:hint="eastAsia" w:ascii="宋体" w:hAnsi="宋体" w:cs="宋体"/>
          <w:szCs w:val="21"/>
        </w:rPr>
        <w:t>1.3.9若投标人须知表1.3.9款采购标的对应的中小企业划分标准所属行业，投标人应当根据招标文件规定格式提供中小企业声明函（货物）。</w:t>
      </w:r>
    </w:p>
    <w:p>
      <w:pPr>
        <w:pStyle w:val="55"/>
        <w:spacing w:line="360" w:lineRule="auto"/>
        <w:rPr>
          <w:rFonts w:ascii="宋体" w:hAnsi="宋体" w:cs="宋体"/>
          <w:szCs w:val="21"/>
        </w:rPr>
      </w:pPr>
      <w:r>
        <w:rPr>
          <w:rFonts w:hint="eastAsia" w:ascii="宋体" w:hAnsi="宋体" w:cs="宋体"/>
          <w:szCs w:val="21"/>
        </w:rPr>
        <w:t>1.3.10本项目采购标的属性，详见投标人须知表1.3.10款。</w:t>
      </w:r>
    </w:p>
    <w:p>
      <w:pPr>
        <w:pStyle w:val="55"/>
        <w:spacing w:line="360" w:lineRule="auto"/>
        <w:rPr>
          <w:rFonts w:ascii="宋体" w:hAnsi="宋体" w:cs="宋体"/>
          <w:szCs w:val="21"/>
        </w:rPr>
      </w:pPr>
      <w:r>
        <w:rPr>
          <w:rFonts w:hint="eastAsia" w:ascii="宋体" w:hAnsi="宋体" w:cs="宋体"/>
          <w:szCs w:val="21"/>
        </w:rPr>
        <w:t>1.4 本项目不接受联合体投标。</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1.5 单位负责人为同一人或者存在直接控股、管理关系的不同投标人，其相关投标将被认定为</w:t>
      </w:r>
      <w:r>
        <w:rPr>
          <w:rFonts w:hint="eastAsia" w:ascii="宋体" w:hAnsi="宋体" w:eastAsia="宋体" w:cs="宋体"/>
          <w:b/>
          <w:bCs/>
          <w:szCs w:val="21"/>
        </w:rPr>
        <w:t>投标无效</w:t>
      </w:r>
      <w:r>
        <w:rPr>
          <w:rFonts w:hint="eastAsia" w:ascii="宋体" w:hAnsi="宋体" w:eastAsia="宋体" w:cs="宋体"/>
          <w:szCs w:val="21"/>
        </w:rPr>
        <w:t>。</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1.6 为本项目提供过整体设计、规范编制或者项目管理、监理、检测等服务的投标人，不得再参加本项目上述服务以外的其他采购活动。否则其投标将被认定为</w:t>
      </w:r>
      <w:r>
        <w:rPr>
          <w:rFonts w:hint="eastAsia" w:ascii="宋体" w:hAnsi="宋体" w:eastAsia="宋体" w:cs="宋体"/>
          <w:b/>
          <w:bCs/>
          <w:szCs w:val="21"/>
        </w:rPr>
        <w:t>投标无效</w:t>
      </w:r>
      <w:r>
        <w:rPr>
          <w:rFonts w:hint="eastAsia" w:ascii="宋体" w:hAnsi="宋体" w:eastAsia="宋体" w:cs="宋体"/>
          <w:szCs w:val="21"/>
        </w:rPr>
        <w:t>。</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1.7 投标人在投标过程中不得向采购人提供、给予任何有价值的物品，影响其正常决策行为。一经发现，其将被认定为</w:t>
      </w:r>
      <w:r>
        <w:rPr>
          <w:rFonts w:hint="eastAsia" w:ascii="宋体" w:hAnsi="宋体" w:eastAsia="宋体" w:cs="宋体"/>
          <w:b/>
          <w:bCs/>
          <w:szCs w:val="21"/>
        </w:rPr>
        <w:t>投标无效</w:t>
      </w:r>
      <w:r>
        <w:rPr>
          <w:rFonts w:hint="eastAsia" w:ascii="宋体" w:hAnsi="宋体" w:eastAsia="宋体" w:cs="宋体"/>
          <w:szCs w:val="21"/>
        </w:rPr>
        <w:t>。</w:t>
      </w:r>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2.资金来源</w:t>
      </w:r>
    </w:p>
    <w:p>
      <w:pPr>
        <w:adjustRightInd w:val="0"/>
        <w:snapToGrid w:val="0"/>
        <w:spacing w:line="360" w:lineRule="auto"/>
        <w:rPr>
          <w:rFonts w:ascii="宋体" w:hAnsi="宋体" w:eastAsia="宋体" w:cs="宋体"/>
          <w:szCs w:val="21"/>
        </w:rPr>
      </w:pPr>
      <w:r>
        <w:rPr>
          <w:rFonts w:hint="eastAsia" w:ascii="宋体" w:hAnsi="宋体" w:eastAsia="宋体" w:cs="宋体"/>
          <w:szCs w:val="21"/>
        </w:rPr>
        <w:t>2.1本项目的采购人已获得足以支付本次招标后所签订的合同项下的资金（包括财政性资金和本项目采购中无法与财政性资金分割的非财政性资金）。</w:t>
      </w:r>
    </w:p>
    <w:p>
      <w:pPr>
        <w:adjustRightInd w:val="0"/>
        <w:snapToGrid w:val="0"/>
        <w:spacing w:line="360" w:lineRule="auto"/>
        <w:rPr>
          <w:rFonts w:ascii="宋体" w:hAnsi="宋体" w:eastAsia="宋体" w:cs="宋体"/>
          <w:szCs w:val="21"/>
        </w:rPr>
      </w:pPr>
      <w:r>
        <w:rPr>
          <w:rFonts w:hint="eastAsia" w:ascii="宋体" w:hAnsi="宋体" w:eastAsia="宋体" w:cs="宋体"/>
          <w:szCs w:val="21"/>
        </w:rPr>
        <w:t>2.2项目预算金额和分项或分包最高限价见投标人须知表2.2款。</w:t>
      </w:r>
    </w:p>
    <w:p>
      <w:pPr>
        <w:adjustRightInd w:val="0"/>
        <w:snapToGrid w:val="0"/>
        <w:spacing w:line="360" w:lineRule="auto"/>
        <w:rPr>
          <w:rFonts w:ascii="宋体" w:hAnsi="宋体" w:eastAsia="宋体" w:cs="宋体"/>
          <w:szCs w:val="21"/>
        </w:rPr>
      </w:pPr>
      <w:r>
        <w:rPr>
          <w:rFonts w:hint="eastAsia" w:ascii="宋体" w:hAnsi="宋体" w:eastAsia="宋体" w:cs="宋体"/>
          <w:szCs w:val="21"/>
        </w:rPr>
        <w:t>2.3投标人报价超过招标文件规定的预算金额或者分项、分包最高限价的，其投标将被认定为</w:t>
      </w:r>
      <w:r>
        <w:rPr>
          <w:rFonts w:hint="eastAsia" w:ascii="宋体" w:hAnsi="宋体" w:eastAsia="宋体" w:cs="宋体"/>
          <w:b/>
          <w:bCs/>
          <w:szCs w:val="21"/>
        </w:rPr>
        <w:t>投标无效</w:t>
      </w:r>
      <w:r>
        <w:rPr>
          <w:rFonts w:hint="eastAsia" w:ascii="宋体" w:hAnsi="宋体" w:eastAsia="宋体" w:cs="宋体"/>
          <w:szCs w:val="21"/>
        </w:rPr>
        <w:t>。</w:t>
      </w:r>
    </w:p>
    <w:p>
      <w:pPr>
        <w:adjustRightInd w:val="0"/>
        <w:snapToGrid w:val="0"/>
        <w:spacing w:line="360" w:lineRule="auto"/>
        <w:rPr>
          <w:rFonts w:ascii="宋体" w:hAnsi="宋体" w:eastAsia="宋体" w:cs="宋体"/>
          <w:b/>
          <w:bCs/>
          <w:szCs w:val="21"/>
        </w:rPr>
      </w:pPr>
      <w:bookmarkStart w:id="10" w:name="_Toc266951048"/>
      <w:r>
        <w:rPr>
          <w:rFonts w:hint="eastAsia" w:ascii="宋体" w:hAnsi="宋体" w:eastAsia="宋体" w:cs="宋体"/>
          <w:b/>
          <w:bCs/>
          <w:szCs w:val="21"/>
        </w:rPr>
        <w:t>3.语言文字</w:t>
      </w:r>
      <w:bookmarkEnd w:id="10"/>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除专用术语外，与投标有关的语言均使用中文。必要时专用术语应附有中文注释。对不同文字文本投标文件的解释发生异议的，以中文文本为准。</w:t>
      </w:r>
    </w:p>
    <w:p>
      <w:pPr>
        <w:adjustRightInd w:val="0"/>
        <w:snapToGrid w:val="0"/>
        <w:spacing w:line="360" w:lineRule="auto"/>
        <w:rPr>
          <w:rFonts w:ascii="宋体" w:hAnsi="宋体" w:eastAsia="宋体" w:cs="宋体"/>
          <w:b/>
          <w:bCs/>
          <w:szCs w:val="21"/>
        </w:rPr>
      </w:pPr>
      <w:bookmarkStart w:id="11" w:name="_1.8_计量单位"/>
      <w:bookmarkEnd w:id="11"/>
      <w:bookmarkStart w:id="12" w:name="_Toc266951049"/>
      <w:r>
        <w:rPr>
          <w:rFonts w:hint="eastAsia" w:ascii="宋体" w:hAnsi="宋体" w:eastAsia="宋体" w:cs="宋体"/>
          <w:b/>
          <w:bCs/>
          <w:szCs w:val="21"/>
        </w:rPr>
        <w:t>4.计量单位</w:t>
      </w:r>
      <w:bookmarkEnd w:id="12"/>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除投标人须知表4款中有特殊要求外，投标文件中所使用的计量单位，应采用中华人民共和国法定计量单位。</w:t>
      </w:r>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5.投标费用</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不论投标的结果如何，投标人应承担所有与准备和参加投标有关的费用。</w:t>
      </w:r>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6.现场考察、开标前答疑会</w:t>
      </w:r>
    </w:p>
    <w:p>
      <w:pPr>
        <w:adjustRightInd w:val="0"/>
        <w:snapToGrid w:val="0"/>
        <w:spacing w:line="360" w:lineRule="auto"/>
        <w:rPr>
          <w:rFonts w:ascii="宋体" w:hAnsi="宋体" w:eastAsia="宋体" w:cs="宋体"/>
          <w:szCs w:val="21"/>
        </w:rPr>
      </w:pPr>
      <w:r>
        <w:rPr>
          <w:rFonts w:hint="eastAsia" w:ascii="宋体" w:hAnsi="宋体" w:eastAsia="宋体" w:cs="宋体"/>
          <w:szCs w:val="21"/>
        </w:rPr>
        <w:t>6.1</w:t>
      </w:r>
      <w:r>
        <w:fldChar w:fldCharType="begin"/>
      </w:r>
      <w:r>
        <w:instrText xml:space="preserve"> HYPERLINK \l "_踏勘现场" </w:instrText>
      </w:r>
      <w:r>
        <w:fldChar w:fldCharType="separate"/>
      </w:r>
      <w:r>
        <w:rPr>
          <w:rFonts w:hint="eastAsia" w:ascii="宋体" w:hAnsi="宋体" w:eastAsia="宋体" w:cs="宋体"/>
          <w:szCs w:val="21"/>
        </w:rPr>
        <w:t>投标人须知表</w:t>
      </w:r>
      <w:r>
        <w:rPr>
          <w:rFonts w:hint="eastAsia" w:ascii="宋体" w:hAnsi="宋体" w:eastAsia="宋体" w:cs="宋体"/>
          <w:szCs w:val="21"/>
        </w:rPr>
        <w:fldChar w:fldCharType="end"/>
      </w:r>
      <w:r>
        <w:rPr>
          <w:rFonts w:hint="eastAsia" w:ascii="宋体" w:hAnsi="宋体" w:eastAsia="宋体" w:cs="宋体"/>
          <w:szCs w:val="21"/>
        </w:rPr>
        <w:t>6.1款规定组织现场考察或开标前答疑会的，采购人按规定的时间、地点组织投标人现场考察或开标前答疑会，或者在领取招标文件期限截止后以书面形式通知所有获取招标文件的潜在投标人。</w:t>
      </w:r>
    </w:p>
    <w:p>
      <w:pPr>
        <w:adjustRightInd w:val="0"/>
        <w:snapToGrid w:val="0"/>
        <w:spacing w:line="360" w:lineRule="auto"/>
        <w:rPr>
          <w:rFonts w:ascii="宋体" w:hAnsi="宋体" w:eastAsia="宋体" w:cs="宋体"/>
          <w:b/>
          <w:bCs/>
          <w:szCs w:val="21"/>
        </w:rPr>
      </w:pPr>
      <w:bookmarkStart w:id="13" w:name="_1.10_投标预备会"/>
      <w:bookmarkEnd w:id="13"/>
      <w:r>
        <w:rPr>
          <w:rFonts w:hint="eastAsia" w:ascii="宋体" w:hAnsi="宋体" w:eastAsia="宋体" w:cs="宋体"/>
          <w:szCs w:val="21"/>
        </w:rPr>
        <w:t>6.2</w:t>
      </w:r>
      <w:r>
        <w:rPr>
          <w:rFonts w:hint="eastAsia" w:ascii="宋体" w:hAnsi="宋体" w:eastAsia="宋体" w:cs="宋体"/>
          <w:kern w:val="0"/>
          <w:szCs w:val="21"/>
        </w:rPr>
        <w:t>由于未参加现场踏勘或标前答疑而导致对项目实际情况不了解，影响技术文件编制、</w:t>
      </w:r>
      <w:r>
        <w:fldChar w:fldCharType="begin"/>
      </w:r>
      <w: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fldChar w:fldCharType="separate"/>
      </w:r>
      <w:r>
        <w:rPr>
          <w:rFonts w:hint="eastAsia" w:ascii="宋体" w:hAnsi="宋体" w:eastAsia="宋体" w:cs="宋体"/>
          <w:kern w:val="0"/>
          <w:szCs w:val="21"/>
        </w:rPr>
        <w:t>投标报价</w:t>
      </w:r>
      <w:r>
        <w:rPr>
          <w:rFonts w:hint="eastAsia" w:ascii="宋体" w:hAnsi="宋体" w:eastAsia="宋体" w:cs="宋体"/>
          <w:kern w:val="0"/>
          <w:szCs w:val="21"/>
        </w:rPr>
        <w:fldChar w:fldCharType="end"/>
      </w:r>
      <w:r>
        <w:rPr>
          <w:rFonts w:hint="eastAsia" w:ascii="宋体" w:hAnsi="宋体" w:eastAsia="宋体" w:cs="宋体"/>
          <w:kern w:val="0"/>
          <w:szCs w:val="21"/>
        </w:rPr>
        <w:t>准确性、综合因素响应不全面等问题的，由投标人自行承担相应后果。</w:t>
      </w:r>
    </w:p>
    <w:p>
      <w:pPr>
        <w:adjustRightInd w:val="0"/>
        <w:snapToGrid w:val="0"/>
        <w:spacing w:line="360" w:lineRule="auto"/>
        <w:rPr>
          <w:rFonts w:ascii="宋体" w:hAnsi="宋体" w:eastAsia="宋体" w:cs="宋体"/>
          <w:szCs w:val="21"/>
        </w:rPr>
      </w:pPr>
      <w:r>
        <w:rPr>
          <w:rFonts w:hint="eastAsia" w:ascii="宋体" w:hAnsi="宋体" w:eastAsia="宋体" w:cs="宋体"/>
          <w:szCs w:val="21"/>
        </w:rPr>
        <w:t>6.3现场考察及参加标前答疑会所发生的费用及一切责任由投标人自行承担。</w:t>
      </w:r>
    </w:p>
    <w:p>
      <w:pPr>
        <w:adjustRightInd w:val="0"/>
        <w:snapToGrid w:val="0"/>
        <w:spacing w:line="360" w:lineRule="auto"/>
        <w:rPr>
          <w:rFonts w:ascii="宋体" w:hAnsi="宋体" w:eastAsia="宋体" w:cs="宋体"/>
          <w:b/>
          <w:bCs/>
          <w:szCs w:val="21"/>
        </w:rPr>
      </w:pPr>
      <w:r>
        <w:rPr>
          <w:rFonts w:hint="eastAsia" w:ascii="宋体" w:hAnsi="宋体" w:eastAsia="宋体" w:cs="宋体"/>
          <w:kern w:val="0"/>
          <w:szCs w:val="21"/>
        </w:rPr>
        <w:t>★7.中标项目分包或转包：中标单位不允许将中标项目分包或转包给他人。</w:t>
      </w:r>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8.适用法律</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本项目的采购人、采购代理机构、投标人、评标委员会的相关行为均受《中华人民共和国政府采购法》、《中华人民共和国政府采购法实施条例》及本项目本级和上级财政部门政府采购有关规定的约束，其权利受到上述法律法规的保护。</w:t>
      </w:r>
    </w:p>
    <w:p>
      <w:pPr>
        <w:pStyle w:val="4"/>
        <w:spacing w:line="360" w:lineRule="auto"/>
        <w:rPr>
          <w:rFonts w:ascii="宋体" w:hAnsi="宋体" w:eastAsia="宋体" w:cs="宋体"/>
        </w:rPr>
      </w:pPr>
      <w:bookmarkStart w:id="14" w:name="_Toc7688"/>
      <w:bookmarkStart w:id="15" w:name="_Toc10106_WPSOffice_Level2"/>
      <w:r>
        <w:rPr>
          <w:rFonts w:hint="eastAsia" w:ascii="宋体" w:hAnsi="宋体" w:eastAsia="宋体" w:cs="宋体"/>
        </w:rPr>
        <w:t>三 招标文件</w:t>
      </w:r>
      <w:bookmarkEnd w:id="14"/>
      <w:bookmarkEnd w:id="15"/>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9招标文件构成</w:t>
      </w:r>
    </w:p>
    <w:p>
      <w:pPr>
        <w:adjustRightInd w:val="0"/>
        <w:snapToGrid w:val="0"/>
        <w:spacing w:line="360" w:lineRule="auto"/>
        <w:rPr>
          <w:rFonts w:ascii="宋体" w:hAnsi="宋体" w:eastAsia="宋体" w:cs="宋体"/>
        </w:rPr>
      </w:pPr>
      <w:r>
        <w:rPr>
          <w:rFonts w:hint="eastAsia" w:ascii="宋体" w:hAnsi="宋体" w:eastAsia="宋体" w:cs="宋体"/>
          <w:szCs w:val="21"/>
        </w:rPr>
        <w:t>9.1招标</w:t>
      </w:r>
      <w:r>
        <w:rPr>
          <w:rFonts w:hint="eastAsia" w:ascii="宋体" w:hAnsi="宋体" w:eastAsia="宋体" w:cs="宋体"/>
        </w:rPr>
        <w:t>文件内容如下:</w:t>
      </w:r>
    </w:p>
    <w:p>
      <w:pPr>
        <w:adjustRightInd w:val="0"/>
        <w:snapToGrid w:val="0"/>
        <w:spacing w:line="360" w:lineRule="auto"/>
        <w:rPr>
          <w:rFonts w:ascii="宋体" w:hAnsi="宋体" w:eastAsia="宋体" w:cs="宋体"/>
          <w:szCs w:val="21"/>
        </w:rPr>
      </w:pPr>
      <w:r>
        <w:rPr>
          <w:rFonts w:hint="eastAsia" w:ascii="宋体" w:hAnsi="宋体" w:eastAsia="宋体" w:cs="宋体"/>
          <w:szCs w:val="21"/>
        </w:rPr>
        <w:t>第一章 招标公告</w:t>
      </w:r>
    </w:p>
    <w:p>
      <w:pPr>
        <w:adjustRightInd w:val="0"/>
        <w:snapToGrid w:val="0"/>
        <w:spacing w:line="360" w:lineRule="auto"/>
        <w:rPr>
          <w:rFonts w:ascii="宋体" w:hAnsi="宋体" w:eastAsia="宋体" w:cs="宋体"/>
          <w:szCs w:val="21"/>
        </w:rPr>
      </w:pPr>
      <w:r>
        <w:rPr>
          <w:rFonts w:hint="eastAsia" w:ascii="宋体" w:hAnsi="宋体" w:eastAsia="宋体" w:cs="宋体"/>
          <w:szCs w:val="21"/>
        </w:rPr>
        <w:t>第二章 投标人须知</w:t>
      </w:r>
    </w:p>
    <w:p>
      <w:pPr>
        <w:adjustRightInd w:val="0"/>
        <w:snapToGrid w:val="0"/>
        <w:spacing w:line="360" w:lineRule="auto"/>
        <w:rPr>
          <w:rFonts w:ascii="宋体" w:hAnsi="宋体" w:eastAsia="宋体" w:cs="宋体"/>
          <w:szCs w:val="21"/>
        </w:rPr>
      </w:pPr>
      <w:r>
        <w:rPr>
          <w:rFonts w:hint="eastAsia" w:ascii="宋体" w:hAnsi="宋体" w:eastAsia="宋体" w:cs="宋体"/>
          <w:szCs w:val="21"/>
        </w:rPr>
        <w:t>第三章 评标办法</w:t>
      </w:r>
    </w:p>
    <w:p>
      <w:pPr>
        <w:adjustRightInd w:val="0"/>
        <w:snapToGrid w:val="0"/>
        <w:spacing w:line="360" w:lineRule="auto"/>
        <w:rPr>
          <w:rFonts w:ascii="宋体" w:hAnsi="宋体" w:eastAsia="宋体" w:cs="宋体"/>
          <w:szCs w:val="21"/>
        </w:rPr>
      </w:pPr>
      <w:r>
        <w:rPr>
          <w:rFonts w:hint="eastAsia" w:ascii="宋体" w:hAnsi="宋体" w:eastAsia="宋体" w:cs="宋体"/>
          <w:szCs w:val="21"/>
        </w:rPr>
        <w:t>第四章 采购需求</w:t>
      </w:r>
    </w:p>
    <w:p>
      <w:pPr>
        <w:adjustRightInd w:val="0"/>
        <w:snapToGrid w:val="0"/>
        <w:spacing w:line="360" w:lineRule="auto"/>
        <w:rPr>
          <w:rFonts w:ascii="宋体" w:hAnsi="宋体" w:eastAsia="宋体" w:cs="宋体"/>
          <w:szCs w:val="21"/>
        </w:rPr>
      </w:pPr>
      <w:r>
        <w:rPr>
          <w:rFonts w:hint="eastAsia" w:ascii="宋体" w:hAnsi="宋体" w:eastAsia="宋体" w:cs="宋体"/>
          <w:szCs w:val="21"/>
        </w:rPr>
        <w:t>第五章 合同条款及格式</w:t>
      </w:r>
    </w:p>
    <w:p>
      <w:pPr>
        <w:adjustRightInd w:val="0"/>
        <w:snapToGrid w:val="0"/>
        <w:spacing w:line="360" w:lineRule="auto"/>
        <w:rPr>
          <w:rFonts w:ascii="宋体" w:hAnsi="宋体" w:eastAsia="宋体" w:cs="宋体"/>
          <w:szCs w:val="21"/>
        </w:rPr>
      </w:pPr>
      <w:r>
        <w:rPr>
          <w:rFonts w:hint="eastAsia" w:ascii="宋体" w:hAnsi="宋体" w:eastAsia="宋体" w:cs="宋体"/>
          <w:szCs w:val="21"/>
        </w:rPr>
        <w:t>第六章 投标文件格式</w:t>
      </w:r>
    </w:p>
    <w:p>
      <w:pPr>
        <w:adjustRightInd w:val="0"/>
        <w:snapToGrid w:val="0"/>
        <w:spacing w:line="360" w:lineRule="auto"/>
        <w:rPr>
          <w:rFonts w:ascii="宋体" w:hAnsi="宋体" w:eastAsia="宋体" w:cs="宋体"/>
          <w:szCs w:val="21"/>
        </w:rPr>
      </w:pPr>
      <w:r>
        <w:rPr>
          <w:rFonts w:hint="eastAsia" w:ascii="宋体" w:hAnsi="宋体" w:eastAsia="宋体" w:cs="宋体"/>
          <w:szCs w:val="21"/>
        </w:rPr>
        <w:t>9.2 投标人应认真阅读招标文件所有的事项、格式、条款等。如投标人没有按照招标文件要求提交资料，或者投标文件没有对招标文件做出实质性响应，可能导致其投标被认定为投标无效。</w:t>
      </w:r>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10.招标文件的澄清与修改</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10.1 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现因全部实现电子交易，在投标截止前，采购人、采购代理机构无法获取潜在投标人的信息，无法做到有针对性的通知，所有通知均以同级政府采购网站发布信息为准，各投标人及时查阅。招标文件澄清与修改不足15日的，采购人或者采购代理机构应当顺延提交投标文件的截止时间。</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10.2澄清或者修改的内容为招标文件的组成部分，对所有招标文件的收受人具有约束力。</w:t>
      </w:r>
    </w:p>
    <w:p>
      <w:pPr>
        <w:pStyle w:val="4"/>
        <w:spacing w:line="360" w:lineRule="auto"/>
        <w:rPr>
          <w:rFonts w:ascii="宋体" w:hAnsi="宋体" w:eastAsia="宋体" w:cs="宋体"/>
        </w:rPr>
      </w:pPr>
      <w:bookmarkStart w:id="16" w:name="_Toc7415_WPSOffice_Level2"/>
      <w:bookmarkStart w:id="17" w:name="_Toc25669"/>
      <w:r>
        <w:rPr>
          <w:rFonts w:hint="eastAsia" w:ascii="宋体" w:hAnsi="宋体" w:eastAsia="宋体" w:cs="宋体"/>
        </w:rPr>
        <w:t>四 投标文件的编制</w:t>
      </w:r>
      <w:bookmarkEnd w:id="16"/>
      <w:bookmarkEnd w:id="17"/>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11. 投标范围</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11.1 项目有分包的，投标人可对招标文件其中某一个分包或几个分包进行投标。</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11.2 投标人应当对所投分包在招标文件中“货物需求”所列的所有货物内容进行投标，如仅响应分包中某一部分内容，其该包投标将被认定为</w:t>
      </w:r>
      <w:r>
        <w:rPr>
          <w:rFonts w:hint="eastAsia" w:ascii="宋体" w:hAnsi="宋体" w:eastAsia="宋体" w:cs="宋体"/>
          <w:b/>
          <w:bCs/>
          <w:szCs w:val="21"/>
        </w:rPr>
        <w:t>投标无效</w:t>
      </w:r>
      <w:r>
        <w:rPr>
          <w:rFonts w:hint="eastAsia" w:ascii="宋体" w:hAnsi="宋体" w:eastAsia="宋体" w:cs="宋体"/>
          <w:szCs w:val="21"/>
        </w:rPr>
        <w:t>。</w:t>
      </w:r>
    </w:p>
    <w:p>
      <w:pPr>
        <w:pStyle w:val="9"/>
        <w:adjustRightInd w:val="0"/>
        <w:snapToGrid w:val="0"/>
        <w:spacing w:line="360" w:lineRule="auto"/>
        <w:rPr>
          <w:rFonts w:ascii="宋体" w:hAnsi="宋体" w:eastAsia="宋体" w:cs="宋体"/>
          <w:szCs w:val="21"/>
        </w:rPr>
      </w:pPr>
      <w:r>
        <w:rPr>
          <w:rFonts w:hint="eastAsia" w:ascii="宋体" w:hAnsi="宋体" w:eastAsia="宋体" w:cs="宋体"/>
          <w:szCs w:val="21"/>
        </w:rPr>
        <w:t>11.3 如一个分包内包含多种产品的，采购人或采购代理机构将在投标人须知表11.3款中载明核心产品，多家投标人提供的核心产品品牌相同的，按照“评标办法”“同一品牌产品”规定处理。</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11.4 无论招标文件第六章货物需求中是否要求，投标人所投货物均应符合国家强制性标准。</w:t>
      </w:r>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12.投标文件构成</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12.1投标人应参照按招标文件提供的投标文件格式及要求编写投标文件。具体见投标文件内容及格式。</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12.2投标人可按招标文件提供的格式编写投标文件。招标文件提供标准格式的按标准格式填列，未提供标准格式的可自行拟定。</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12.3 样品或演示要求详见投标人须知表12.3款。</w:t>
      </w:r>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13.投标报价</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13.1 所有投标均按招标文件要求货币进行报价。投标人的投标报价应遵守《中华人民共和国价格法》。同时，根据《中华人民共和国政府采购法》第三条的规定，为保证公平竞争，如有货物主体部分的赠与行为，其投标将被认定为</w:t>
      </w:r>
      <w:r>
        <w:rPr>
          <w:rFonts w:hint="eastAsia" w:ascii="宋体" w:hAnsi="宋体" w:eastAsia="宋体" w:cs="宋体"/>
          <w:b/>
          <w:bCs/>
          <w:szCs w:val="21"/>
        </w:rPr>
        <w:t>投标无效</w:t>
      </w:r>
      <w:r>
        <w:rPr>
          <w:rFonts w:hint="eastAsia" w:ascii="宋体" w:hAnsi="宋体" w:eastAsia="宋体" w:cs="宋体"/>
          <w:szCs w:val="21"/>
        </w:rPr>
        <w:t>。</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13.2投标价格应为投标货物的出厂价格（包括已在中国国内的进口货物完税后的交货价）、购买货物需缴纳的所有税费、运输费、采购标的本身价值费、保险费、装卸费、安装及调试费、检验费、技术服务费和培训费等完成所需的一切费用。</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13.3 投标人应按招标文件要求在相关表格中标明投标货物及相关服务的单价和总价，并由法定代表人（非法人组织的负责人）或其委托代理人签署。</w:t>
      </w:r>
    </w:p>
    <w:p>
      <w:pPr>
        <w:adjustRightInd w:val="0"/>
        <w:snapToGrid w:val="0"/>
        <w:spacing w:line="360" w:lineRule="auto"/>
        <w:rPr>
          <w:rFonts w:ascii="宋体" w:hAnsi="宋体" w:eastAsia="宋体" w:cs="宋体"/>
          <w:b/>
          <w:bCs/>
          <w:szCs w:val="21"/>
        </w:rPr>
      </w:pPr>
      <w:r>
        <w:rPr>
          <w:rFonts w:hint="eastAsia" w:ascii="宋体" w:hAnsi="宋体" w:eastAsia="宋体" w:cs="宋体"/>
          <w:szCs w:val="21"/>
        </w:rPr>
        <w:t>13.4 投标人所报的各分项投标单价在合同履行过程中是固定不变的，不得以任何理由予以变更。任何包含价格调整要求的投标，其投标将被认定为</w:t>
      </w:r>
      <w:r>
        <w:rPr>
          <w:rFonts w:hint="eastAsia" w:ascii="宋体" w:hAnsi="宋体" w:eastAsia="宋体" w:cs="宋体"/>
          <w:b/>
          <w:bCs/>
          <w:szCs w:val="21"/>
        </w:rPr>
        <w:t>投标无效。</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13.5每种货物只能有一个投标报价。采购人不接受具有附加条件的报价。</w:t>
      </w:r>
    </w:p>
    <w:p>
      <w:pPr>
        <w:adjustRightInd w:val="0"/>
        <w:snapToGrid w:val="0"/>
        <w:spacing w:line="360" w:lineRule="auto"/>
        <w:rPr>
          <w:rFonts w:ascii="宋体" w:hAnsi="宋体" w:eastAsia="宋体" w:cs="宋体"/>
          <w:szCs w:val="21"/>
        </w:rPr>
      </w:pPr>
      <w:bookmarkStart w:id="18" w:name="_Toc31973_WPSOffice_Level2"/>
      <w:bookmarkStart w:id="19" w:name="_Toc22507_WPSOffice_Level2"/>
      <w:r>
        <w:rPr>
          <w:rFonts w:hint="eastAsia" w:ascii="宋体" w:hAnsi="宋体" w:eastAsia="宋体" w:cs="宋体"/>
          <w:szCs w:val="21"/>
        </w:rPr>
        <w:t>13.6除非招标文件另有规定，报价原则上精确到小数点后两位。</w:t>
      </w:r>
      <w:bookmarkEnd w:id="18"/>
      <w:bookmarkEnd w:id="19"/>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14.投标保证金</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14.1依据《财政部关于促进政府采购公平竞争优化营商环境的通知财库〔2019〕38号》及《河南省财政厅关于优化政府采购营商环境有关问题的通知豫财购【2019】4号》文件指示精神，不再收取投标保证金。</w:t>
      </w:r>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15.证明投标标的的合格性和符合招标文件规定的技术文件</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15.1 投标人应提交证明文件，证明其投标内容符合招标文件规定。该证明文件是投标文件的一部分。</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15.2上款所述的证明文件，可以是文字资料、图纸和数据。</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15.2.3对照招标文件技术规格，逐条说明所提供货物已对招标文件的技术规格做出了实质性的响应，或申明与技术规格条文的偏差和例外。</w:t>
      </w:r>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16.投标有效期</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16.1 投标应在投标人须知表16.1中规定的投标有效期内保持有效。投标有效期低于招标文件定的有效期，其投标将被认定为投标无效。</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16.2 在特殊情况下，采购人或采购代理机构可根据实际情况，在原投标有效期截止之前，要求投标人延长投标文件的有效期。接受该要求的投标人将不会被要求和允许修正其投标，且本须知中有关投标承诺函的要求须在延长的有效期内继续有效。投标人可以拒绝延长投标有效期的要求。上述要求和答复都应当书面形式提交。</w:t>
      </w:r>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17.投标文件的格式及规定</w:t>
      </w:r>
    </w:p>
    <w:p>
      <w:pPr>
        <w:adjustRightInd w:val="0"/>
        <w:snapToGrid w:val="0"/>
        <w:spacing w:line="360" w:lineRule="auto"/>
        <w:rPr>
          <w:rFonts w:ascii="宋体" w:hAnsi="宋体" w:eastAsia="宋体" w:cs="宋体"/>
          <w:szCs w:val="21"/>
        </w:rPr>
      </w:pPr>
      <w:bookmarkStart w:id="20" w:name="_Toc27725_WPSOffice_Level2"/>
      <w:r>
        <w:rPr>
          <w:rFonts w:hint="eastAsia" w:ascii="宋体" w:hAnsi="宋体" w:eastAsia="宋体" w:cs="宋体"/>
          <w:szCs w:val="21"/>
        </w:rPr>
        <w:t>17.1 投标人应按相关的规定，本项目为电子招标，故投标格式中涉及到的盖章，签字，均适用电子签章，详见须知前附表。</w:t>
      </w:r>
    </w:p>
    <w:p>
      <w:pPr>
        <w:pStyle w:val="4"/>
        <w:spacing w:line="360" w:lineRule="auto"/>
        <w:rPr>
          <w:rFonts w:ascii="宋体" w:hAnsi="宋体" w:eastAsia="宋体" w:cs="宋体"/>
        </w:rPr>
      </w:pPr>
      <w:bookmarkStart w:id="21" w:name="_Toc15297"/>
      <w:r>
        <w:rPr>
          <w:rFonts w:hint="eastAsia" w:ascii="宋体" w:hAnsi="宋体" w:eastAsia="宋体" w:cs="宋体"/>
        </w:rPr>
        <w:t>五 投标文件的递交</w:t>
      </w:r>
      <w:bookmarkEnd w:id="20"/>
      <w:bookmarkEnd w:id="21"/>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18.投标文件的递交</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18.1 投标人应在投标人须知前附表规定的投标文件截止时间前递交投标文件。</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18.2 投标人通过下载招标文件的电子招标投标交易平台递交电子投标文件。</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18.3 除投标人须知前附表另有规定外投标人所递交的投标文件不予退还。</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18.4 投标人完成电子投标文件上传后，电子招标投标交易平台即时向投标人发出递交签收回执通知。递交时间以递交回执通知载明的传输完成时间为准。</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18.5 逾期送达的投标文件，电子招标投标交易平台将予以拒收。</w:t>
      </w:r>
    </w:p>
    <w:p>
      <w:pPr>
        <w:adjustRightInd w:val="0"/>
        <w:snapToGrid w:val="0"/>
        <w:spacing w:line="360" w:lineRule="auto"/>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19.投标截止</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19.1 投标人应在投标人须知表19.1中规定的递交投标文件截止时间前，将投标文件递交到投标人须知表19.1款中规定的地点。</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19.2 采购人和采购代理机构有权按本须知的规定，延迟投标截止时间。在此情况下，采购人、采购代理机构和投标人受投标截止时间制约的所有权利和义务均应延长至新的截止时间。</w:t>
      </w:r>
    </w:p>
    <w:p>
      <w:pPr>
        <w:adjustRightInd w:val="0"/>
        <w:snapToGrid w:val="0"/>
        <w:spacing w:line="360" w:lineRule="auto"/>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20. 投标文件的接收、修改与撤回</w:t>
      </w:r>
      <w:bookmarkStart w:id="22" w:name="_Toc988_WPSOffice_Level2"/>
    </w:p>
    <w:p>
      <w:pPr>
        <w:adjustRightInd w:val="0"/>
        <w:snapToGrid w:val="0"/>
        <w:spacing w:line="360" w:lineRule="auto"/>
        <w:rPr>
          <w:rFonts w:ascii="宋体" w:hAnsi="宋体" w:eastAsia="宋体" w:cs="宋体"/>
          <w:szCs w:val="21"/>
        </w:rPr>
      </w:pPr>
      <w:r>
        <w:rPr>
          <w:rFonts w:hint="eastAsia" w:ascii="宋体" w:hAnsi="宋体" w:eastAsia="宋体" w:cs="宋体"/>
          <w:szCs w:val="21"/>
        </w:rPr>
        <w:t>20.1 投标人在递交投标文件后，在投标截止时间之前可以修改或撤回其投标文件。</w:t>
      </w:r>
    </w:p>
    <w:p>
      <w:pPr>
        <w:adjustRightInd w:val="0"/>
        <w:snapToGrid w:val="0"/>
        <w:spacing w:line="360" w:lineRule="auto"/>
        <w:rPr>
          <w:rFonts w:ascii="宋体" w:hAnsi="宋体" w:eastAsia="宋体" w:cs="宋体"/>
          <w:szCs w:val="21"/>
        </w:rPr>
      </w:pPr>
      <w:r>
        <w:rPr>
          <w:rFonts w:hint="eastAsia" w:ascii="宋体" w:hAnsi="宋体" w:eastAsia="宋体" w:cs="宋体"/>
          <w:szCs w:val="21"/>
        </w:rPr>
        <w:t>20.2在投标截止期之后，投标人不得对其投标做任何实质性条款修改。</w:t>
      </w:r>
    </w:p>
    <w:p>
      <w:pPr>
        <w:adjustRightInd w:val="0"/>
        <w:snapToGrid w:val="0"/>
        <w:spacing w:line="360" w:lineRule="auto"/>
        <w:rPr>
          <w:rFonts w:ascii="宋体" w:hAnsi="宋体" w:eastAsia="宋体" w:cs="宋体"/>
          <w:szCs w:val="21"/>
        </w:rPr>
      </w:pPr>
      <w:r>
        <w:rPr>
          <w:rFonts w:hint="eastAsia" w:ascii="宋体" w:hAnsi="宋体" w:eastAsia="宋体" w:cs="宋体"/>
          <w:szCs w:val="21"/>
        </w:rPr>
        <w:t>20.3从投标截止期至投标人在投标文件中载明的投标有效期满期间，投标人不得撤回其投标，否则将自行承担相应后果。</w:t>
      </w:r>
    </w:p>
    <w:p>
      <w:pPr>
        <w:adjustRightInd w:val="0"/>
        <w:snapToGrid w:val="0"/>
        <w:spacing w:line="360" w:lineRule="auto"/>
        <w:rPr>
          <w:rFonts w:ascii="宋体" w:hAnsi="宋体" w:eastAsia="宋体" w:cs="宋体"/>
          <w:szCs w:val="21"/>
        </w:rPr>
      </w:pPr>
      <w:r>
        <w:rPr>
          <w:rFonts w:hint="eastAsia" w:ascii="宋体" w:hAnsi="宋体" w:eastAsia="宋体" w:cs="宋体"/>
          <w:szCs w:val="21"/>
        </w:rPr>
        <w:t>注：因河南省公共资源交易中心平台在开标前具有保密性，投标人在投标文件递交截止时间前须自行查看项目进展、变更通知、澄清及回复，因投标人未及时查看而造成的后果自负。</w:t>
      </w:r>
    </w:p>
    <w:p>
      <w:pPr>
        <w:pStyle w:val="4"/>
        <w:spacing w:line="360" w:lineRule="auto"/>
        <w:rPr>
          <w:rFonts w:ascii="宋体" w:hAnsi="宋体" w:eastAsia="宋体" w:cs="宋体"/>
        </w:rPr>
      </w:pPr>
      <w:bookmarkStart w:id="23" w:name="_Toc3686"/>
      <w:r>
        <w:rPr>
          <w:rFonts w:hint="eastAsia" w:ascii="宋体" w:hAnsi="宋体" w:eastAsia="宋体" w:cs="宋体"/>
        </w:rPr>
        <w:t>六 开标及评标</w:t>
      </w:r>
      <w:bookmarkEnd w:id="22"/>
      <w:bookmarkEnd w:id="23"/>
    </w:p>
    <w:p>
      <w:pPr>
        <w:adjustRightInd w:val="0"/>
        <w:snapToGrid w:val="0"/>
        <w:spacing w:line="360" w:lineRule="auto"/>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21.开标</w:t>
      </w:r>
    </w:p>
    <w:p>
      <w:pPr>
        <w:adjustRightInd w:val="0"/>
        <w:snapToGrid w:val="0"/>
        <w:spacing w:line="360" w:lineRule="auto"/>
        <w:rPr>
          <w:rFonts w:ascii="宋体" w:hAnsi="宋体" w:eastAsia="宋体" w:cs="宋体"/>
          <w:szCs w:val="21"/>
        </w:rPr>
      </w:pPr>
      <w:r>
        <w:rPr>
          <w:rFonts w:hint="eastAsia" w:ascii="宋体" w:hAnsi="宋体" w:eastAsia="宋体" w:cs="宋体"/>
          <w:szCs w:val="21"/>
        </w:rPr>
        <w:t>21.1 采购人和采购代理机构将按投标人须知表中规定的开标时间和地点组织开标，所有投标人在交易中心远程开标系统参加开标。</w:t>
      </w:r>
    </w:p>
    <w:p>
      <w:pPr>
        <w:adjustRightInd w:val="0"/>
        <w:snapToGrid w:val="0"/>
        <w:spacing w:line="360" w:lineRule="auto"/>
        <w:rPr>
          <w:rFonts w:ascii="宋体" w:hAnsi="宋体" w:eastAsia="宋体" w:cs="宋体"/>
          <w:szCs w:val="21"/>
        </w:rPr>
      </w:pPr>
      <w:r>
        <w:rPr>
          <w:rFonts w:hint="eastAsia" w:ascii="宋体" w:hAnsi="宋体" w:eastAsia="宋体" w:cs="宋体"/>
          <w:szCs w:val="21"/>
        </w:rPr>
        <w:t>21.2 开标时，采购代理机构在投标人须知前附表中规定的时间和地点组织公开开标。投标人不足3家的，不得开标，采购代理机构系统退回投标文件，评标委员会成员不得参加开标活动。开标由采购代理机构主持。</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（1）宣布投标时间截止；</w:t>
      </w:r>
    </w:p>
    <w:p>
      <w:pPr>
        <w:adjustRightInd w:val="0"/>
        <w:snapToGrid w:val="0"/>
        <w:spacing w:line="360" w:lineRule="auto"/>
        <w:rPr>
          <w:rFonts w:ascii="宋体" w:hAnsi="宋体" w:eastAsia="宋体" w:cs="宋体"/>
          <w:szCs w:val="21"/>
        </w:rPr>
      </w:pPr>
      <w:r>
        <w:rPr>
          <w:rFonts w:hint="eastAsia" w:ascii="宋体" w:hAnsi="宋体" w:eastAsia="宋体" w:cs="宋体"/>
          <w:szCs w:val="21"/>
        </w:rPr>
        <w:t>（2）公布在投标截止时间前递交投标文件的投标人名称；</w:t>
      </w:r>
    </w:p>
    <w:p>
      <w:pPr>
        <w:adjustRightInd w:val="0"/>
        <w:snapToGrid w:val="0"/>
        <w:spacing w:line="360" w:lineRule="auto"/>
        <w:rPr>
          <w:rFonts w:ascii="宋体" w:hAnsi="宋体" w:eastAsia="宋体" w:cs="宋体"/>
          <w:szCs w:val="21"/>
        </w:rPr>
      </w:pPr>
      <w:r>
        <w:rPr>
          <w:rFonts w:hint="eastAsia" w:ascii="宋体" w:hAnsi="宋体" w:eastAsia="宋体" w:cs="宋体"/>
          <w:szCs w:val="21"/>
        </w:rPr>
        <w:t>（3）投标单位进行文件解密，因加密电子投标文件未能成功上传或误传等自身原因而导致的解密失败，投标将被拒绝（具体操作流程详见具体操纵流程详见河南省公共资源交易中心首页中办事指南流程）；</w:t>
      </w:r>
    </w:p>
    <w:p>
      <w:pPr>
        <w:adjustRightInd w:val="0"/>
        <w:snapToGrid w:val="0"/>
        <w:spacing w:line="360" w:lineRule="auto"/>
        <w:rPr>
          <w:rFonts w:ascii="宋体" w:hAnsi="宋体" w:eastAsia="宋体" w:cs="宋体"/>
          <w:szCs w:val="21"/>
        </w:rPr>
      </w:pPr>
      <w:r>
        <w:rPr>
          <w:rFonts w:hint="eastAsia" w:ascii="宋体" w:hAnsi="宋体" w:eastAsia="宋体" w:cs="宋体"/>
          <w:szCs w:val="21"/>
        </w:rPr>
        <w:t>（4）批量导入；</w:t>
      </w:r>
    </w:p>
    <w:p>
      <w:pPr>
        <w:adjustRightInd w:val="0"/>
        <w:snapToGrid w:val="0"/>
        <w:spacing w:line="360" w:lineRule="auto"/>
        <w:rPr>
          <w:rFonts w:ascii="宋体" w:hAnsi="宋体" w:eastAsia="宋体" w:cs="宋体"/>
          <w:szCs w:val="21"/>
        </w:rPr>
      </w:pPr>
      <w:r>
        <w:rPr>
          <w:rFonts w:hint="eastAsia" w:ascii="宋体" w:hAnsi="宋体" w:eastAsia="宋体" w:cs="宋体"/>
          <w:szCs w:val="21"/>
        </w:rPr>
        <w:t>（5）唱标；</w:t>
      </w:r>
    </w:p>
    <w:p>
      <w:pPr>
        <w:adjustRightInd w:val="0"/>
        <w:snapToGrid w:val="0"/>
        <w:spacing w:line="360" w:lineRule="auto"/>
        <w:rPr>
          <w:rFonts w:ascii="宋体" w:hAnsi="宋体" w:eastAsia="宋体" w:cs="宋体"/>
          <w:szCs w:val="21"/>
        </w:rPr>
      </w:pPr>
      <w:r>
        <w:rPr>
          <w:rFonts w:hint="eastAsia" w:ascii="宋体" w:hAnsi="宋体" w:eastAsia="宋体" w:cs="宋体"/>
          <w:szCs w:val="21"/>
        </w:rPr>
        <w:t>（6）质疑及回复；</w:t>
      </w:r>
    </w:p>
    <w:p>
      <w:pPr>
        <w:adjustRightInd w:val="0"/>
        <w:snapToGrid w:val="0"/>
        <w:spacing w:line="360" w:lineRule="auto"/>
        <w:rPr>
          <w:rFonts w:ascii="宋体" w:hAnsi="宋体" w:eastAsia="宋体" w:cs="宋体"/>
          <w:szCs w:val="21"/>
        </w:rPr>
      </w:pPr>
      <w:r>
        <w:rPr>
          <w:rFonts w:hint="eastAsia" w:ascii="宋体" w:hAnsi="宋体" w:eastAsia="宋体" w:cs="宋体"/>
          <w:szCs w:val="21"/>
        </w:rPr>
        <w:t>（7）开标结束；</w:t>
      </w:r>
    </w:p>
    <w:p>
      <w:pPr>
        <w:adjustRightInd w:val="0"/>
        <w:snapToGrid w:val="0"/>
        <w:spacing w:line="360" w:lineRule="auto"/>
        <w:rPr>
          <w:rFonts w:ascii="宋体" w:hAnsi="宋体" w:eastAsia="宋体" w:cs="宋体"/>
          <w:szCs w:val="21"/>
        </w:rPr>
      </w:pPr>
      <w:r>
        <w:rPr>
          <w:rFonts w:hint="eastAsia" w:ascii="宋体" w:hAnsi="宋体" w:eastAsia="宋体" w:cs="宋体"/>
          <w:szCs w:val="21"/>
        </w:rPr>
        <w:t>备注：本项目为不见面电子开标，开标记录表显示后，各投标单位对自己的开标记录表进行核对，如有疑问及时系统提出，如未在规定时间内提出质疑视为认同开标结果，开标结束后，不再接受对开标记录的质疑。</w:t>
      </w:r>
    </w:p>
    <w:p>
      <w:pPr>
        <w:adjustRightInd w:val="0"/>
        <w:snapToGrid w:val="0"/>
        <w:spacing w:line="360" w:lineRule="auto"/>
        <w:rPr>
          <w:rFonts w:ascii="宋体" w:hAnsi="宋体" w:eastAsia="宋体" w:cs="宋体"/>
          <w:szCs w:val="21"/>
        </w:rPr>
      </w:pPr>
      <w:r>
        <w:rPr>
          <w:rFonts w:hint="eastAsia" w:ascii="宋体" w:hAnsi="宋体" w:eastAsia="宋体" w:cs="宋体"/>
          <w:szCs w:val="21"/>
        </w:rPr>
        <w:t>★22. 资格审查</w:t>
      </w:r>
    </w:p>
    <w:p>
      <w:pPr>
        <w:adjustRightInd w:val="0"/>
        <w:snapToGrid w:val="0"/>
        <w:spacing w:line="360" w:lineRule="auto"/>
        <w:rPr>
          <w:rFonts w:ascii="宋体" w:hAnsi="宋体" w:eastAsia="宋体" w:cs="宋体"/>
          <w:szCs w:val="21"/>
        </w:rPr>
      </w:pPr>
      <w:r>
        <w:rPr>
          <w:rFonts w:hint="eastAsia" w:ascii="宋体" w:hAnsi="宋体" w:eastAsia="宋体" w:cs="宋体"/>
          <w:szCs w:val="21"/>
        </w:rPr>
        <w:t>22.1资格审查内容：详见招标公告中的资格要求；</w:t>
      </w:r>
    </w:p>
    <w:p>
      <w:pPr>
        <w:adjustRightInd w:val="0"/>
        <w:snapToGrid w:val="0"/>
        <w:spacing w:line="360" w:lineRule="auto"/>
        <w:rPr>
          <w:rFonts w:ascii="宋体" w:hAnsi="宋体" w:eastAsia="宋体" w:cs="宋体"/>
          <w:szCs w:val="21"/>
        </w:rPr>
      </w:pPr>
      <w:r>
        <w:rPr>
          <w:rFonts w:hint="eastAsia" w:ascii="宋体" w:hAnsi="宋体" w:eastAsia="宋体" w:cs="宋体"/>
          <w:szCs w:val="21"/>
        </w:rPr>
        <w:t>22.2采购人或采购代理机构依据《政府采购货物和服务招标投标管理办法》（财政部令第87号）第四十四条公开招标采购项目开标结束后，采购人或者采购代理机构应当依法对投标人的资格进行审查，对投标人的资格进行审查，投标人应按照招标文件中要求提交资格证明材料。未通过资格审查的投标人不能进入评标，其投标将被认定为投标无效；通过资格审查的投标人不足3家的，不得评标；</w:t>
      </w:r>
    </w:p>
    <w:p>
      <w:pPr>
        <w:adjustRightInd w:val="0"/>
        <w:snapToGrid w:val="0"/>
        <w:spacing w:line="360" w:lineRule="auto"/>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23. 组建评标委员会</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依据《中华人民共和国政府采购法》、《中华人民共和国政府采购法实施条例》有关规定依法组建评标委员会，负责本项目评标工作。本项目评标委员会组成详见投标人须知表23款。</w:t>
      </w:r>
    </w:p>
    <w:p>
      <w:pPr>
        <w:spacing w:line="360" w:lineRule="auto"/>
        <w:ind w:left="420" w:leftChars="200"/>
        <w:rPr>
          <w:rFonts w:ascii="宋体" w:hAnsi="宋体" w:eastAsia="宋体" w:cs="宋体"/>
          <w:szCs w:val="21"/>
        </w:rPr>
      </w:pPr>
      <w:r>
        <w:rPr>
          <w:rFonts w:hint="eastAsia" w:ascii="宋体" w:hAnsi="宋体" w:eastAsia="宋体" w:cs="宋体"/>
          <w:szCs w:val="21"/>
        </w:rPr>
        <w:t>23.1评标委员会</w:t>
      </w:r>
    </w:p>
    <w:p>
      <w:pPr>
        <w:autoSpaceDE w:val="0"/>
        <w:autoSpaceDN w:val="0"/>
        <w:adjustRightInd w:val="0"/>
        <w:spacing w:line="360"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（1）评标工作由采购人依法组建的评标委员会负责，对所有投标人的投标文件进行审评，并按评标办法规定的方式推荐出投标人须知前附表中载明数量的中标候选人。</w:t>
      </w:r>
    </w:p>
    <w:p>
      <w:pPr>
        <w:autoSpaceDE w:val="0"/>
        <w:autoSpaceDN w:val="0"/>
        <w:adjustRightInd w:val="0"/>
        <w:spacing w:line="360"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评标委员会由采购人代表和评审专家组成，成员人数应当为5人以上单数，其中评审专家不得少于成员总数的三分之二。对采购预算金额在1000万元以上或技术复杂或社会影响较大的采购项目，评标委员会成员人数应当为7人以上单数。</w:t>
      </w:r>
    </w:p>
    <w:p>
      <w:pPr>
        <w:autoSpaceDE w:val="0"/>
        <w:autoSpaceDN w:val="0"/>
        <w:adjustRightInd w:val="0"/>
        <w:spacing w:line="360"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（3）评审专家对本单位的采购项目只能作为采购人代表参与评标，对技术复杂、专业性强的采购项目，通过随机方式难以确定合适评审专家的情形除外。</w:t>
      </w:r>
    </w:p>
    <w:p>
      <w:pPr>
        <w:autoSpaceDE w:val="0"/>
        <w:autoSpaceDN w:val="0"/>
        <w:adjustRightInd w:val="0"/>
        <w:spacing w:line="360"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（4）采购代理机构工作人员不得参加由本机构代理的政府采购项目的评标。</w:t>
      </w:r>
    </w:p>
    <w:p>
      <w:pPr>
        <w:autoSpaceDE w:val="0"/>
        <w:autoSpaceDN w:val="0"/>
        <w:adjustRightInd w:val="0"/>
        <w:spacing w:line="360"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（5）评标委员会成员名单在评标结果公告前应当保密。</w:t>
      </w:r>
    </w:p>
    <w:p>
      <w:pPr>
        <w:spacing w:line="360" w:lineRule="auto"/>
        <w:ind w:firstLine="420" w:firstLineChars="200"/>
        <w:rPr>
          <w:rFonts w:ascii="宋体" w:hAnsi="宋体" w:eastAsia="宋体" w:cs="宋体"/>
          <w:szCs w:val="21"/>
        </w:rPr>
      </w:pPr>
      <w:r>
        <w:rPr>
          <w:rFonts w:hint="eastAsia" w:ascii="宋体" w:hAnsi="宋体" w:eastAsia="宋体" w:cs="宋体"/>
          <w:szCs w:val="21"/>
        </w:rPr>
        <w:t>23.2评标委员会及其成员不得有下列行为：</w:t>
      </w:r>
    </w:p>
    <w:p>
      <w:pPr>
        <w:autoSpaceDE w:val="0"/>
        <w:autoSpaceDN w:val="0"/>
        <w:adjustRightInd w:val="0"/>
        <w:spacing w:line="360"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（1）确定参与评标至评标结束前私自接触投标人；</w:t>
      </w:r>
    </w:p>
    <w:p>
      <w:pPr>
        <w:autoSpaceDE w:val="0"/>
        <w:autoSpaceDN w:val="0"/>
        <w:adjustRightInd w:val="0"/>
        <w:spacing w:line="360"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接受投标人提出的与投标文件不一致的澄清或者说明（对于投标文件中含义不明确、同类问题表述不一致或者有明显文字和计算错误的内容，评标委员会以书面形式要求投标人作出必要的澄清、说明或者补正的除外）；</w:t>
      </w:r>
    </w:p>
    <w:p>
      <w:pPr>
        <w:autoSpaceDE w:val="0"/>
        <w:autoSpaceDN w:val="0"/>
        <w:adjustRightInd w:val="0"/>
        <w:spacing w:line="360"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（3）违反评标纪律发表倾向性意见或者征询采购人的倾向性意见；</w:t>
      </w:r>
    </w:p>
    <w:p>
      <w:pPr>
        <w:autoSpaceDE w:val="0"/>
        <w:autoSpaceDN w:val="0"/>
        <w:adjustRightInd w:val="0"/>
        <w:spacing w:line="360"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（4）对需要专业判断的主观评审因素协商评分；</w:t>
      </w:r>
    </w:p>
    <w:p>
      <w:pPr>
        <w:autoSpaceDE w:val="0"/>
        <w:autoSpaceDN w:val="0"/>
        <w:adjustRightInd w:val="0"/>
        <w:spacing w:line="360"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（5）在评标过程中擅离职守，影响评标程序正常进行的；</w:t>
      </w:r>
    </w:p>
    <w:p>
      <w:pPr>
        <w:autoSpaceDE w:val="0"/>
        <w:autoSpaceDN w:val="0"/>
        <w:adjustRightInd w:val="0"/>
        <w:spacing w:line="360"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（6）记录、复制或者带走任何评标资料；</w:t>
      </w:r>
    </w:p>
    <w:p>
      <w:pPr>
        <w:autoSpaceDE w:val="0"/>
        <w:autoSpaceDN w:val="0"/>
        <w:adjustRightInd w:val="0"/>
        <w:spacing w:line="360"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（7）其他不遵守评标纪律的行为。</w:t>
      </w:r>
    </w:p>
    <w:p>
      <w:pPr>
        <w:tabs>
          <w:tab w:val="left" w:pos="720"/>
        </w:tabs>
        <w:spacing w:line="360" w:lineRule="auto"/>
        <w:ind w:firstLine="420" w:firstLineChars="200"/>
        <w:rPr>
          <w:rFonts w:ascii="宋体" w:hAnsi="宋体" w:eastAsia="宋体" w:cs="宋体"/>
          <w:szCs w:val="21"/>
        </w:rPr>
      </w:pPr>
      <w:r>
        <w:rPr>
          <w:rFonts w:hint="eastAsia" w:ascii="宋体" w:hAnsi="宋体" w:eastAsia="宋体" w:cs="宋体"/>
          <w:szCs w:val="21"/>
        </w:rPr>
        <w:t>评标委员会成员有本章第（1）至（5）行为之一的，其评审意见无效，并不得获取评审劳务报酬和报销异地评审差旅费。</w:t>
      </w:r>
    </w:p>
    <w:p>
      <w:pPr>
        <w:spacing w:line="360" w:lineRule="auto"/>
        <w:ind w:firstLine="420" w:firstLineChars="200"/>
        <w:rPr>
          <w:rFonts w:ascii="宋体" w:hAnsi="宋体" w:eastAsia="宋体" w:cs="宋体"/>
          <w:szCs w:val="21"/>
        </w:rPr>
      </w:pPr>
      <w:r>
        <w:rPr>
          <w:rFonts w:hint="eastAsia" w:ascii="宋体" w:hAnsi="宋体" w:eastAsia="宋体" w:cs="宋体"/>
          <w:szCs w:val="21"/>
        </w:rPr>
        <w:t>23.3评标委员会成员对需要共同认定的事项存在争议的，应当按照少数服从多数的原则作出结论。持不同意见的评标委员会成员应当在评标报告上签署不同意见及理由，否则视为同意评标报告。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420" w:firstLineChars="200"/>
        <w:rPr>
          <w:rFonts w:ascii="宋体" w:hAnsi="宋体" w:eastAsia="宋体" w:cs="宋体"/>
          <w:szCs w:val="21"/>
        </w:rPr>
      </w:pPr>
      <w:r>
        <w:rPr>
          <w:rFonts w:hint="eastAsia" w:ascii="宋体" w:hAnsi="宋体" w:eastAsia="宋体" w:cs="宋体"/>
          <w:szCs w:val="21"/>
        </w:rPr>
        <w:t>23.4评标</w:t>
      </w:r>
    </w:p>
    <w:p>
      <w:pPr>
        <w:autoSpaceDE w:val="0"/>
        <w:autoSpaceDN w:val="0"/>
        <w:adjustRightInd w:val="0"/>
        <w:spacing w:line="360"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1）评标委员会应当严格遵守评审工作纪律,按照客观、公正、审慎的原则，按照招标文件中评标办法规定的评审程序、评审方法和评审标准对投标文件进行独立评审。评标办法之外没有规定的方法、评审因素和标准，不得作为评标依据。</w:t>
      </w:r>
    </w:p>
    <w:p>
      <w:pPr>
        <w:autoSpaceDE w:val="0"/>
        <w:autoSpaceDN w:val="0"/>
        <w:adjustRightInd w:val="0"/>
        <w:spacing w:line="360"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（2）评标完成后，评标委员会应当向采购人提交书面评标报告和中标候选人名单。评标委员会推荐中标候选人的人数见投标人须知前附表。</w:t>
      </w:r>
    </w:p>
    <w:p>
      <w:pPr>
        <w:spacing w:line="360" w:lineRule="auto"/>
        <w:ind w:firstLine="420" w:firstLineChars="200"/>
        <w:rPr>
          <w:rFonts w:ascii="宋体" w:hAnsi="宋体" w:eastAsia="宋体" w:cs="宋体"/>
          <w:szCs w:val="21"/>
        </w:rPr>
      </w:pPr>
      <w:r>
        <w:rPr>
          <w:rFonts w:hint="eastAsia" w:ascii="宋体" w:hAnsi="宋体" w:eastAsia="宋体" w:cs="宋体"/>
          <w:szCs w:val="21"/>
        </w:rPr>
        <w:t>23.5保密及其它注意事项</w:t>
      </w:r>
    </w:p>
    <w:p>
      <w:pPr>
        <w:spacing w:line="360" w:lineRule="auto"/>
        <w:ind w:firstLine="420" w:firstLineChars="200"/>
        <w:rPr>
          <w:rFonts w:ascii="宋体" w:hAnsi="宋体" w:eastAsia="宋体" w:cs="宋体"/>
          <w:szCs w:val="21"/>
        </w:rPr>
      </w:pPr>
      <w:r>
        <w:rPr>
          <w:rFonts w:hint="eastAsia" w:ascii="宋体" w:hAnsi="宋体" w:eastAsia="宋体" w:cs="宋体"/>
          <w:kern w:val="0"/>
          <w:szCs w:val="21"/>
        </w:rPr>
        <w:t>（1）</w:t>
      </w:r>
      <w:r>
        <w:rPr>
          <w:rFonts w:hint="eastAsia" w:ascii="宋体" w:hAnsi="宋体" w:eastAsia="宋体" w:cs="宋体"/>
          <w:szCs w:val="21"/>
        </w:rPr>
        <w:t>评标是招标工作的重要环节，评标工作在评标委员会内独立进行。</w:t>
      </w:r>
    </w:p>
    <w:p>
      <w:pPr>
        <w:spacing w:line="360" w:lineRule="auto"/>
        <w:ind w:firstLine="420" w:firstLineChars="200"/>
        <w:rPr>
          <w:rFonts w:ascii="宋体" w:hAnsi="宋体" w:eastAsia="宋体" w:cs="宋体"/>
          <w:szCs w:val="21"/>
        </w:rPr>
      </w:pPr>
      <w:r>
        <w:rPr>
          <w:rFonts w:hint="eastAsia" w:ascii="宋体" w:hAnsi="宋体" w:eastAsia="宋体" w:cs="宋体"/>
          <w:kern w:val="0"/>
          <w:szCs w:val="21"/>
        </w:rPr>
        <w:t>（2）</w:t>
      </w:r>
      <w:r>
        <w:rPr>
          <w:rFonts w:hint="eastAsia" w:ascii="宋体" w:hAnsi="宋体" w:eastAsia="宋体" w:cs="宋体"/>
          <w:szCs w:val="21"/>
        </w:rPr>
        <w:t>评标委员会将遵照规定的评标方法，公正、平等地对待所有投标人。</w:t>
      </w:r>
    </w:p>
    <w:p>
      <w:pPr>
        <w:spacing w:line="360" w:lineRule="auto"/>
        <w:ind w:firstLine="420" w:firstLineChars="200"/>
        <w:rPr>
          <w:rFonts w:ascii="宋体" w:hAnsi="宋体" w:eastAsia="宋体" w:cs="宋体"/>
          <w:szCs w:val="21"/>
        </w:rPr>
      </w:pPr>
      <w:r>
        <w:rPr>
          <w:rFonts w:hint="eastAsia" w:ascii="宋体" w:hAnsi="宋体" w:eastAsia="宋体" w:cs="宋体"/>
          <w:kern w:val="0"/>
          <w:szCs w:val="21"/>
        </w:rPr>
        <w:t>（3）</w:t>
      </w:r>
      <w:r>
        <w:rPr>
          <w:rFonts w:hint="eastAsia" w:ascii="宋体" w:hAnsi="宋体" w:eastAsia="宋体" w:cs="宋体"/>
          <w:szCs w:val="21"/>
        </w:rPr>
        <w:t>在开标、评标期间，投标人不得向评委询问评标情况，不得进行旨在影响评标结果的活动。否则其投标可能被拒绝。</w:t>
      </w:r>
    </w:p>
    <w:p>
      <w:pPr>
        <w:spacing w:line="360" w:lineRule="auto"/>
        <w:ind w:firstLine="420" w:firstLineChars="200"/>
        <w:rPr>
          <w:rFonts w:ascii="宋体" w:hAnsi="宋体" w:eastAsia="宋体" w:cs="宋体"/>
          <w:szCs w:val="21"/>
        </w:rPr>
      </w:pPr>
      <w:r>
        <w:rPr>
          <w:rFonts w:hint="eastAsia" w:ascii="宋体" w:hAnsi="宋体" w:eastAsia="宋体" w:cs="宋体"/>
          <w:kern w:val="0"/>
          <w:szCs w:val="21"/>
        </w:rPr>
        <w:t>（4）</w:t>
      </w:r>
      <w:r>
        <w:rPr>
          <w:rFonts w:hint="eastAsia" w:ascii="宋体" w:hAnsi="宋体" w:eastAsia="宋体" w:cs="宋体"/>
          <w:szCs w:val="21"/>
        </w:rPr>
        <w:t>为保证评标的公正性，开标后直至授予投标人合同，评委不得与投标人私下交换意见。</w:t>
      </w:r>
    </w:p>
    <w:p>
      <w:pPr>
        <w:spacing w:line="360" w:lineRule="auto"/>
        <w:ind w:firstLine="420" w:firstLineChars="200"/>
        <w:rPr>
          <w:rFonts w:ascii="宋体" w:hAnsi="宋体" w:eastAsia="宋体" w:cs="宋体"/>
          <w:szCs w:val="21"/>
        </w:rPr>
      </w:pPr>
      <w:r>
        <w:rPr>
          <w:rFonts w:hint="eastAsia" w:ascii="宋体" w:hAnsi="宋体" w:eastAsia="宋体" w:cs="宋体"/>
          <w:kern w:val="0"/>
          <w:szCs w:val="21"/>
        </w:rPr>
        <w:t>（5）</w:t>
      </w:r>
      <w:r>
        <w:rPr>
          <w:rFonts w:hint="eastAsia" w:ascii="宋体" w:hAnsi="宋体" w:eastAsia="宋体" w:cs="宋体"/>
          <w:szCs w:val="21"/>
        </w:rPr>
        <w:t>在评标工作结束后，凡与评标情况有接触的任何人不得擅自将评标情况扩散出评标人员之外。</w:t>
      </w:r>
    </w:p>
    <w:p>
      <w:pPr>
        <w:spacing w:line="360" w:lineRule="auto"/>
        <w:ind w:firstLine="420" w:firstLineChars="200"/>
        <w:rPr>
          <w:rFonts w:ascii="宋体" w:hAnsi="宋体" w:eastAsia="宋体" w:cs="宋体"/>
        </w:rPr>
      </w:pPr>
      <w:r>
        <w:rPr>
          <w:rFonts w:hint="eastAsia" w:ascii="宋体" w:hAnsi="宋体" w:eastAsia="宋体" w:cs="宋体"/>
          <w:kern w:val="0"/>
          <w:szCs w:val="21"/>
        </w:rPr>
        <w:t>（6）</w:t>
      </w:r>
      <w:r>
        <w:rPr>
          <w:rFonts w:hint="eastAsia" w:ascii="宋体" w:hAnsi="宋体" w:eastAsia="宋体" w:cs="宋体"/>
          <w:szCs w:val="21"/>
        </w:rPr>
        <w:t>评标结束后，投标文件概不退还。</w:t>
      </w:r>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24.符合性审查</w:t>
      </w:r>
    </w:p>
    <w:p>
      <w:pPr>
        <w:adjustRightInd w:val="0"/>
        <w:snapToGrid w:val="0"/>
        <w:spacing w:line="360" w:lineRule="auto"/>
        <w:rPr>
          <w:rFonts w:ascii="宋体" w:hAnsi="宋体" w:eastAsia="宋体" w:cs="宋体"/>
          <w:szCs w:val="21"/>
        </w:rPr>
      </w:pPr>
      <w:r>
        <w:rPr>
          <w:rFonts w:hint="eastAsia" w:ascii="宋体" w:hAnsi="宋体" w:eastAsia="宋体" w:cs="宋体"/>
          <w:szCs w:val="21"/>
        </w:rPr>
        <w:t xml:space="preserve">    符合性检查是指依据招标文件的规定，从投标文件的有效性和完整性对招标文件的响应程度进行审查，以确定是否对招标文件的实质性要求做出响应。投标人应按照招标文件中的相应要求，提交符合性证明材料。未通过符合性审查的投标人不能进入下一阶段评审，其投标将被认定为</w:t>
      </w:r>
      <w:r>
        <w:rPr>
          <w:rFonts w:hint="eastAsia" w:ascii="宋体" w:hAnsi="宋体" w:eastAsia="宋体" w:cs="宋体"/>
          <w:b/>
          <w:bCs/>
          <w:szCs w:val="21"/>
        </w:rPr>
        <w:t>投标无效</w:t>
      </w:r>
      <w:r>
        <w:rPr>
          <w:rFonts w:hint="eastAsia" w:ascii="宋体" w:hAnsi="宋体" w:eastAsia="宋体" w:cs="宋体"/>
          <w:szCs w:val="21"/>
        </w:rPr>
        <w:t>；通过符合性审查的投标人数量不足3家的，不得作进一步的比较和评价。</w:t>
      </w:r>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25投标文件的澄清</w:t>
      </w:r>
    </w:p>
    <w:p>
      <w:pPr>
        <w:adjustRightInd w:val="0"/>
        <w:snapToGrid w:val="0"/>
        <w:spacing w:line="360" w:lineRule="auto"/>
        <w:rPr>
          <w:rFonts w:ascii="宋体" w:hAnsi="宋体" w:eastAsia="宋体" w:cs="宋体"/>
          <w:szCs w:val="21"/>
        </w:rPr>
      </w:pPr>
      <w:r>
        <w:rPr>
          <w:rFonts w:hint="eastAsia" w:ascii="宋体" w:hAnsi="宋体" w:eastAsia="宋体" w:cs="宋体"/>
          <w:szCs w:val="21"/>
        </w:rPr>
        <w:t>25.1 在评标期间，评标委员会发现投标人对其投标文件中含义不明确、前后不一致的差错，对同类问题表述不一致或者有明显文字和计算错误的内容应当以书面方式要求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如评标委员会未让投标单位进行澄清，评标委员会应当有利于采购人、投标人方向的评审原则进行评审，不得以此理由否决其投标，并有权向河南省省级政府采购评审专家库管理部门通报其违规行为，追求其责任。</w:t>
      </w:r>
    </w:p>
    <w:p>
      <w:pPr>
        <w:adjustRightInd w:val="0"/>
        <w:snapToGrid w:val="0"/>
        <w:spacing w:line="360" w:lineRule="auto"/>
        <w:rPr>
          <w:rFonts w:ascii="宋体" w:hAnsi="宋体" w:eastAsia="宋体" w:cs="宋体"/>
          <w:szCs w:val="21"/>
        </w:rPr>
      </w:pPr>
      <w:r>
        <w:rPr>
          <w:rFonts w:hint="eastAsia" w:ascii="宋体" w:hAnsi="宋体" w:eastAsia="宋体" w:cs="宋体"/>
          <w:szCs w:val="21"/>
        </w:rPr>
        <w:t>25.2 投标人的澄清、说明或补正将作为投标文件的一部分。</w:t>
      </w:r>
    </w:p>
    <w:p>
      <w:pPr>
        <w:adjustRightInd w:val="0"/>
        <w:snapToGrid w:val="0"/>
        <w:spacing w:line="360" w:lineRule="auto"/>
        <w:rPr>
          <w:rFonts w:ascii="宋体" w:hAnsi="宋体" w:eastAsia="宋体" w:cs="宋体"/>
          <w:szCs w:val="21"/>
        </w:rPr>
      </w:pPr>
      <w:r>
        <w:rPr>
          <w:rFonts w:hint="eastAsia" w:ascii="宋体" w:hAnsi="宋体" w:eastAsia="宋体" w:cs="宋体"/>
          <w:szCs w:val="21"/>
        </w:rPr>
        <w:t>25.3 投标文件报价出现前后不一致的，按照下列规定修正：</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（1）投标文件中开标一览表内容与投标文件中相应内容不一致的，以开标一览表为准；</w:t>
      </w:r>
    </w:p>
    <w:p>
      <w:pPr>
        <w:adjustRightInd w:val="0"/>
        <w:snapToGrid w:val="0"/>
        <w:spacing w:line="360" w:lineRule="auto"/>
        <w:rPr>
          <w:rFonts w:ascii="宋体" w:hAnsi="宋体" w:eastAsia="宋体" w:cs="宋体"/>
          <w:szCs w:val="21"/>
        </w:rPr>
      </w:pPr>
      <w:r>
        <w:rPr>
          <w:rFonts w:hint="eastAsia" w:ascii="宋体" w:hAnsi="宋体" w:eastAsia="宋体" w:cs="宋体"/>
          <w:szCs w:val="21"/>
        </w:rPr>
        <w:t>（2）大写金额和小写金额不一致的，以大写金额为准；</w:t>
      </w:r>
    </w:p>
    <w:p>
      <w:pPr>
        <w:adjustRightInd w:val="0"/>
        <w:snapToGrid w:val="0"/>
        <w:spacing w:line="360" w:lineRule="auto"/>
        <w:rPr>
          <w:rFonts w:ascii="宋体" w:hAnsi="宋体" w:eastAsia="宋体" w:cs="宋体"/>
          <w:szCs w:val="21"/>
        </w:rPr>
      </w:pPr>
      <w:r>
        <w:rPr>
          <w:rFonts w:hint="eastAsia" w:ascii="宋体" w:hAnsi="宋体" w:eastAsia="宋体" w:cs="宋体"/>
          <w:szCs w:val="21"/>
        </w:rPr>
        <w:t>（3）单价金额小数点或者百分比有明显错位的，以开标一览表的总价为准，并修改单价；</w:t>
      </w:r>
    </w:p>
    <w:p>
      <w:pPr>
        <w:adjustRightInd w:val="0"/>
        <w:snapToGrid w:val="0"/>
        <w:spacing w:line="360" w:lineRule="auto"/>
        <w:rPr>
          <w:rFonts w:ascii="宋体" w:hAnsi="宋体" w:eastAsia="宋体" w:cs="宋体"/>
          <w:szCs w:val="21"/>
        </w:rPr>
      </w:pPr>
      <w:r>
        <w:rPr>
          <w:rFonts w:hint="eastAsia" w:ascii="宋体" w:hAnsi="宋体" w:eastAsia="宋体" w:cs="宋体"/>
          <w:szCs w:val="21"/>
        </w:rPr>
        <w:t>（4）总价金额与按单价汇总金额不一致的，以单价金额计算结果为准。</w:t>
      </w:r>
    </w:p>
    <w:p>
      <w:pPr>
        <w:adjustRightInd w:val="0"/>
        <w:snapToGrid w:val="0"/>
        <w:spacing w:line="360" w:lineRule="auto"/>
        <w:rPr>
          <w:rFonts w:ascii="宋体" w:hAnsi="宋体" w:eastAsia="宋体" w:cs="宋体"/>
          <w:szCs w:val="21"/>
        </w:rPr>
      </w:pPr>
      <w:r>
        <w:rPr>
          <w:rFonts w:hint="eastAsia" w:ascii="宋体" w:hAnsi="宋体" w:eastAsia="宋体" w:cs="宋体"/>
          <w:szCs w:val="21"/>
        </w:rPr>
        <w:t>同时出现两种以上不一致的，按照前款规定的顺序修正。修正后的报价经投标人确认后产生约束力，投标人不确认的，其投标将被认定为投标无效。</w:t>
      </w:r>
    </w:p>
    <w:p>
      <w:pPr>
        <w:adjustRightInd w:val="0"/>
        <w:snapToGrid w:val="0"/>
        <w:spacing w:line="360" w:lineRule="auto"/>
        <w:rPr>
          <w:rFonts w:ascii="宋体" w:hAnsi="宋体" w:eastAsia="宋体" w:cs="宋体"/>
          <w:szCs w:val="21"/>
        </w:rPr>
      </w:pPr>
      <w:r>
        <w:rPr>
          <w:rFonts w:hint="eastAsia" w:ascii="宋体" w:hAnsi="宋体" w:eastAsia="宋体" w:cs="宋体"/>
          <w:szCs w:val="21"/>
        </w:rPr>
        <w:t>25.4评标委员会认为投标人的报价明显低于其他通过符合性审查投标人的报价，有可能影响产品质量或者不能诚信履约的，应当要求其在评标现场合理的时间内提供书面说明，并提交相关证明材料；投标人在不能证明其报价合理性的，评标委员会应当将其作为无效投标处理。提交证明材料的合理时间按评标方法规定执行。</w:t>
      </w:r>
    </w:p>
    <w:p>
      <w:pPr>
        <w:adjustRightInd w:val="0"/>
        <w:snapToGrid w:val="0"/>
        <w:spacing w:line="360" w:lineRule="auto"/>
        <w:rPr>
          <w:rFonts w:ascii="宋体" w:hAnsi="宋体" w:eastAsia="宋体" w:cs="宋体"/>
          <w:szCs w:val="21"/>
        </w:rPr>
      </w:pPr>
      <w:r>
        <w:rPr>
          <w:rFonts w:hint="eastAsia" w:ascii="宋体" w:hAnsi="宋体" w:eastAsia="宋体" w:cs="宋体"/>
          <w:b/>
          <w:bCs/>
          <w:szCs w:val="21"/>
        </w:rPr>
        <w:t>26演示</w:t>
      </w:r>
    </w:p>
    <w:p>
      <w:pPr>
        <w:adjustRightInd w:val="0"/>
        <w:snapToGrid w:val="0"/>
        <w:spacing w:line="360" w:lineRule="auto"/>
        <w:ind w:firstLine="210" w:firstLineChars="100"/>
        <w:rPr>
          <w:rFonts w:ascii="宋体" w:hAnsi="宋体" w:eastAsia="宋体" w:cs="宋体"/>
          <w:szCs w:val="21"/>
        </w:rPr>
      </w:pPr>
      <w:r>
        <w:rPr>
          <w:rFonts w:hint="eastAsia" w:ascii="宋体" w:hAnsi="宋体" w:eastAsia="宋体" w:cs="宋体"/>
          <w:szCs w:val="21"/>
        </w:rPr>
        <w:t>演示的评审方法以及评审标准具体内容见“评分细则”。</w:t>
      </w:r>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27.投标无效</w:t>
      </w:r>
    </w:p>
    <w:p>
      <w:pPr>
        <w:adjustRightInd w:val="0"/>
        <w:snapToGrid w:val="0"/>
        <w:spacing w:line="360" w:lineRule="auto"/>
        <w:rPr>
          <w:rFonts w:ascii="宋体" w:hAnsi="宋体" w:eastAsia="宋体" w:cs="宋体"/>
          <w:szCs w:val="21"/>
        </w:rPr>
      </w:pPr>
      <w:r>
        <w:rPr>
          <w:rFonts w:hint="eastAsia" w:ascii="宋体" w:hAnsi="宋体" w:eastAsia="宋体" w:cs="宋体"/>
          <w:szCs w:val="21"/>
        </w:rPr>
        <w:t>27.1 在比较与评价之前，根据本须知的规定，评标委员会将审查每份投标文件是否实质上响应了招标文件的要求。</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如果投标文件没有对招标文件的实质性要求进行响应，将作为</w:t>
      </w:r>
      <w:r>
        <w:rPr>
          <w:rFonts w:hint="eastAsia" w:ascii="宋体" w:hAnsi="宋体" w:eastAsia="宋体" w:cs="宋体"/>
          <w:b/>
          <w:bCs/>
          <w:szCs w:val="21"/>
        </w:rPr>
        <w:t>无效投标</w:t>
      </w:r>
      <w:r>
        <w:rPr>
          <w:rFonts w:hint="eastAsia" w:ascii="宋体" w:hAnsi="宋体" w:eastAsia="宋体" w:cs="宋体"/>
          <w:szCs w:val="21"/>
        </w:rPr>
        <w:t>处理，投标人不得再对投标文件进行任何修正从而使其投标成为实质上响应的投标。</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评标委员会决定投标的响应性只根据招标文件要求、投标文件内容及财政主管部门指定媒体发布的相关信息。</w:t>
      </w:r>
    </w:p>
    <w:p>
      <w:pPr>
        <w:adjustRightInd w:val="0"/>
        <w:snapToGrid w:val="0"/>
        <w:spacing w:line="360" w:lineRule="auto"/>
        <w:rPr>
          <w:rFonts w:ascii="宋体" w:hAnsi="宋体" w:eastAsia="宋体" w:cs="宋体"/>
          <w:szCs w:val="21"/>
        </w:rPr>
      </w:pPr>
      <w:r>
        <w:rPr>
          <w:rFonts w:hint="eastAsia" w:ascii="宋体" w:hAnsi="宋体" w:eastAsia="宋体" w:cs="宋体"/>
          <w:szCs w:val="21"/>
        </w:rPr>
        <w:t>27.2 如发现下列情况之一的，其投标将被认定为</w:t>
      </w:r>
      <w:r>
        <w:rPr>
          <w:rFonts w:hint="eastAsia" w:ascii="宋体" w:hAnsi="宋体" w:eastAsia="宋体" w:cs="宋体"/>
          <w:b/>
          <w:bCs/>
          <w:szCs w:val="21"/>
        </w:rPr>
        <w:t>投标无效</w:t>
      </w:r>
      <w:r>
        <w:rPr>
          <w:rFonts w:hint="eastAsia" w:ascii="宋体" w:hAnsi="宋体" w:eastAsia="宋体" w:cs="宋体"/>
          <w:szCs w:val="21"/>
        </w:rPr>
        <w:t>：</w:t>
      </w:r>
    </w:p>
    <w:p>
      <w:pPr>
        <w:adjustRightInd w:val="0"/>
        <w:snapToGrid w:val="0"/>
        <w:spacing w:line="360" w:lineRule="auto"/>
        <w:rPr>
          <w:rFonts w:ascii="宋体" w:hAnsi="宋体" w:eastAsia="宋体" w:cs="宋体"/>
          <w:szCs w:val="21"/>
        </w:rPr>
      </w:pPr>
      <w:r>
        <w:rPr>
          <w:rFonts w:hint="eastAsia" w:ascii="宋体" w:hAnsi="宋体" w:eastAsia="宋体" w:cs="宋体"/>
          <w:szCs w:val="21"/>
        </w:rPr>
        <w:t>（1） 未按招标文件的规定提交投标承诺的；</w:t>
      </w:r>
    </w:p>
    <w:p>
      <w:pPr>
        <w:adjustRightInd w:val="0"/>
        <w:snapToGrid w:val="0"/>
        <w:spacing w:line="360" w:lineRule="auto"/>
        <w:rPr>
          <w:rFonts w:ascii="宋体" w:hAnsi="宋体" w:eastAsia="宋体" w:cs="宋体"/>
          <w:szCs w:val="21"/>
        </w:rPr>
      </w:pPr>
      <w:r>
        <w:rPr>
          <w:rFonts w:hint="eastAsia" w:ascii="宋体" w:hAnsi="宋体" w:eastAsia="宋体" w:cs="宋体"/>
          <w:szCs w:val="21"/>
        </w:rPr>
        <w:t>（2） 未按照招标文件规定要求签署、盖章的；</w:t>
      </w:r>
    </w:p>
    <w:p>
      <w:pPr>
        <w:adjustRightInd w:val="0"/>
        <w:snapToGrid w:val="0"/>
        <w:spacing w:line="360" w:lineRule="auto"/>
        <w:rPr>
          <w:rFonts w:ascii="宋体" w:hAnsi="宋体" w:eastAsia="宋体" w:cs="宋体"/>
          <w:szCs w:val="21"/>
        </w:rPr>
      </w:pPr>
      <w:r>
        <w:rPr>
          <w:rFonts w:hint="eastAsia" w:ascii="宋体" w:hAnsi="宋体" w:eastAsia="宋体" w:cs="宋体"/>
          <w:szCs w:val="21"/>
        </w:rPr>
        <w:t>（3） 投标人的报价超过了招标文件中规定的预算金额或者最高限价的；</w:t>
      </w:r>
    </w:p>
    <w:p>
      <w:pPr>
        <w:adjustRightInd w:val="0"/>
        <w:snapToGrid w:val="0"/>
        <w:spacing w:line="360" w:lineRule="auto"/>
        <w:rPr>
          <w:rFonts w:ascii="宋体" w:hAnsi="宋体" w:eastAsia="宋体" w:cs="宋体"/>
          <w:szCs w:val="21"/>
        </w:rPr>
      </w:pPr>
      <w:r>
        <w:rPr>
          <w:rFonts w:hint="eastAsia" w:ascii="宋体" w:hAnsi="宋体" w:eastAsia="宋体" w:cs="宋体"/>
          <w:szCs w:val="21"/>
        </w:rPr>
        <w:t>（4） 不符合法规和招标文件中规定的其他实质性要求的。</w:t>
      </w:r>
    </w:p>
    <w:p>
      <w:pPr>
        <w:adjustRightInd w:val="0"/>
        <w:snapToGrid w:val="0"/>
        <w:spacing w:line="360" w:lineRule="auto"/>
        <w:rPr>
          <w:rFonts w:ascii="宋体" w:hAnsi="宋体" w:eastAsia="宋体" w:cs="宋体"/>
          <w:szCs w:val="21"/>
        </w:rPr>
      </w:pPr>
      <w:r>
        <w:rPr>
          <w:rFonts w:hint="eastAsia" w:ascii="宋体" w:hAnsi="宋体" w:eastAsia="宋体" w:cs="宋体"/>
          <w:szCs w:val="21"/>
        </w:rPr>
        <w:t>（5） 与其他投标人串通投标，或者与采购人串通投标；</w:t>
      </w:r>
    </w:p>
    <w:p>
      <w:pPr>
        <w:adjustRightInd w:val="0"/>
        <w:snapToGrid w:val="0"/>
        <w:spacing w:line="360" w:lineRule="auto"/>
        <w:rPr>
          <w:rFonts w:ascii="宋体" w:hAnsi="宋体" w:eastAsia="宋体" w:cs="宋体"/>
          <w:szCs w:val="21"/>
        </w:rPr>
      </w:pPr>
      <w:r>
        <w:rPr>
          <w:rFonts w:hint="eastAsia" w:ascii="宋体" w:hAnsi="宋体" w:eastAsia="宋体" w:cs="宋体"/>
          <w:szCs w:val="21"/>
        </w:rPr>
        <w:t>（6） 评标委员会认为投标人的报价明显低于其他通过符合性检查投标人的报价，有可能影响履约的，且投标人未按照规定证明其报价合理性的；</w:t>
      </w:r>
    </w:p>
    <w:p>
      <w:pPr>
        <w:adjustRightInd w:val="0"/>
        <w:snapToGrid w:val="0"/>
        <w:spacing w:line="360" w:lineRule="auto"/>
        <w:rPr>
          <w:rFonts w:ascii="宋体" w:hAnsi="宋体" w:eastAsia="宋体" w:cs="宋体"/>
          <w:szCs w:val="21"/>
        </w:rPr>
      </w:pPr>
      <w:r>
        <w:rPr>
          <w:rFonts w:hint="eastAsia" w:ascii="宋体" w:hAnsi="宋体" w:eastAsia="宋体" w:cs="宋体"/>
          <w:szCs w:val="21"/>
        </w:rPr>
        <w:t>（7） 投标文件含有采购人不能接受的附加条件的；</w:t>
      </w:r>
    </w:p>
    <w:p>
      <w:pPr>
        <w:adjustRightInd w:val="0"/>
        <w:snapToGrid w:val="0"/>
        <w:spacing w:line="360" w:lineRule="auto"/>
        <w:rPr>
          <w:rFonts w:ascii="宋体" w:hAnsi="宋体" w:eastAsia="宋体" w:cs="宋体"/>
          <w:szCs w:val="21"/>
        </w:rPr>
      </w:pPr>
      <w:r>
        <w:rPr>
          <w:rFonts w:hint="eastAsia" w:ascii="宋体" w:hAnsi="宋体" w:eastAsia="宋体" w:cs="宋体"/>
          <w:szCs w:val="21"/>
        </w:rPr>
        <w:t>（8） 属于法律、法规和招标文件规定的其他投标无效情形。</w:t>
      </w:r>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28.比较与评价</w:t>
      </w:r>
    </w:p>
    <w:p>
      <w:pPr>
        <w:adjustRightInd w:val="0"/>
        <w:snapToGrid w:val="0"/>
        <w:spacing w:line="360" w:lineRule="auto"/>
        <w:rPr>
          <w:rFonts w:ascii="宋体" w:hAnsi="宋体" w:eastAsia="宋体" w:cs="宋体"/>
          <w:szCs w:val="21"/>
        </w:rPr>
      </w:pPr>
      <w:r>
        <w:rPr>
          <w:rFonts w:hint="eastAsia" w:ascii="宋体" w:hAnsi="宋体" w:eastAsia="宋体" w:cs="宋体"/>
          <w:szCs w:val="21"/>
        </w:rPr>
        <w:t>28.1 经初步评审审查合格的投标文件，评标委员会将根据招标文件确定的评标方法和标准，对其技术部分和商务部分作进一步的比较和评价。</w:t>
      </w:r>
    </w:p>
    <w:p>
      <w:pPr>
        <w:adjustRightInd w:val="0"/>
        <w:snapToGrid w:val="0"/>
        <w:spacing w:line="360" w:lineRule="auto"/>
        <w:rPr>
          <w:rFonts w:ascii="宋体" w:hAnsi="宋体" w:eastAsia="宋体" w:cs="宋体"/>
          <w:szCs w:val="21"/>
        </w:rPr>
      </w:pPr>
      <w:r>
        <w:rPr>
          <w:rFonts w:hint="eastAsia" w:ascii="宋体" w:hAnsi="宋体" w:eastAsia="宋体" w:cs="宋体"/>
          <w:szCs w:val="21"/>
        </w:rPr>
        <w:t>28.2 评标严格按照招标文件的要求和条件进行。根据实际情况，在投标人须知表28.2款中规定采用下列一种评标方法，详细评标标准见评标方法。</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本项目采用综合评分法，是指投标文件满足招标文件全部实质性要求，且按照评审因素的量化指标评审得分最高的投标人为中标候选人的评标方法。</w:t>
      </w:r>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29.政府采购政策：</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1）根据《财政部工业和信息化部关于印发&lt;政府采购促进中小企业发展管理办法&gt;的通知》（财库〔2020〕46号）和关于进一步加大政府采购支持中小企业力度的通知（财库〔2022〕19号）、《财政部司法部关于政府采购支持监狱企业发展有关问题的通知》（财库〔2014〕68 号）和《三部门联合发布关于促进残疾人就业政府采购政策的通知》（财库〔2017〕141 号）的规定，对于对于经主管预算单位统筹后未预留份额专门面向中小企业采购的采购项目，以及预留份额项目中的非预留部分采购包，在满足价格扣除条件且在投标文件中提交了《中小企业声明函》、《残疾人福利性单位声明函》，或省级以上监狱管理局、戒毒管理局（含新疆生产建设兵团）出具的属于监狱企业的证明文件的投标人，其投标报价扣除 10%后参与评审。</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2）依据财政部、发展改革委、生态环境部等部门发布的品目清单和国家确定的认证机构出具的、处于有效期之内的节能产品、环境标志产品认证证书实施政府优先采购。具体优先采购办法见招标文件评标方法，并附政府采购网站上相关产品的网页截图，将分别给予投标人在评标办法中规定的标准分值进行加分评审。</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3）如投标产品属于财政部和国家发展改革委发布的《节能产品政府采购品目清单》中要求的强制政府采购产品的，投标人必须提供所投产品属于清单中要求的制造厂家生产的指定型号产品，如提供非《节能产品政府采购品目清单》中要求的强制政府采购产品的，并附政府采购网站上相关产品的网页截图，则认定其投标文件无效。</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（4）依据财政部、国务院扶贫办《关于运用政府采购政策支持脱贫攻坚的通知》（财库〔2019〕27 号）的规定，对于非专门面向贫困地区采购农副产品的项目，在满足价格扣除条件且在投标文件中提交了《贫困地区农副产品声明函》的投标人，对其投标报价扣除后参与评审；对于聘用建档立卡贫困人员公司的相关规定在满足价格扣除条件且在本要求中提交了《聘用建档立卡贫困人员物业公司声明函》的投标人，对最后报价给予价格扣除，用扣除后的价格参与评审。</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（5）鼓励创新，首购和订购的产品具有首创和自主研发性质，属于自主创新产品的，必须执行《自主创新产品政府收购和订购管理办法》；</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（6）采购信息安全产品的，应当采购经国家认证的信息安全产品，投标人应提供由中国信息安全认证中心按国家标准颁发的有效认证证书。</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（7）关于无线局域网产品，必须执行国家财政部、发改委、信息产业部等部门的规定，投标人必须提供所投货物的《无限局域网认证产品政府采购清单》等证明材料文件复印件。</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（8）关于计算机办公设备，必须执行国家版权局、信息产业部、财政部等部门规定，投标人所投货物必须是国家信息部、版权局、商务部等部门认可的预装正版操作系统软件的计算机产品。</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（9）采购货物为国家强制性认证产品的，必须符合强制性标准并提供国家及相关部门的认证材料和证书。</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（10）优先采购本国产品。采购进口产品应符合《中华人民共和国政府采购法》并依法办理论证、公示、审批手续。</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（11）落实扶持不发达地区和少数民族地区政策。</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（12）开源节流，执行低价优先的采购政策规定。</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（13）落实关于印发《商品包装政府采购需求标准（试行）》、《快递包装政府采购需求标准（试行）》的通知财办库〔2020〕123号的政策。</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（14）落实关于印发《关于深入开展政府采购脱贫地区农副产品工作推进乡村产业振兴的实施意见》的通知财库〔2021〕20 号的政府采购政策，具体详见评标办法。</w:t>
      </w:r>
    </w:p>
    <w:p>
      <w:pPr>
        <w:adjustRightInd w:val="0"/>
        <w:snapToGrid w:val="0"/>
        <w:spacing w:line="360" w:lineRule="auto"/>
        <w:rPr>
          <w:rFonts w:ascii="宋体" w:hAnsi="宋体" w:eastAsia="宋体" w:cs="宋体"/>
          <w:b/>
          <w:bCs/>
          <w:szCs w:val="21"/>
        </w:rPr>
      </w:pPr>
      <w:r>
        <w:rPr>
          <w:rFonts w:hint="eastAsia" w:ascii="宋体" w:hAnsi="宋体" w:eastAsia="宋体" w:cs="宋体"/>
          <w:szCs w:val="21"/>
        </w:rPr>
        <w:t>30.</w:t>
      </w:r>
      <w:r>
        <w:rPr>
          <w:rFonts w:hint="eastAsia" w:ascii="宋体" w:hAnsi="宋体" w:eastAsia="宋体" w:cs="宋体"/>
          <w:b/>
          <w:bCs/>
          <w:szCs w:val="21"/>
        </w:rPr>
        <w:t>废标</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出现下列情形之一，将导致项目</w:t>
      </w:r>
      <w:r>
        <w:rPr>
          <w:rFonts w:hint="eastAsia" w:ascii="宋体" w:hAnsi="宋体" w:eastAsia="宋体" w:cs="宋体"/>
          <w:b/>
          <w:bCs/>
          <w:szCs w:val="21"/>
        </w:rPr>
        <w:t>废标</w:t>
      </w:r>
      <w:r>
        <w:rPr>
          <w:rFonts w:hint="eastAsia" w:ascii="宋体" w:hAnsi="宋体" w:eastAsia="宋体" w:cs="宋体"/>
          <w:szCs w:val="21"/>
        </w:rPr>
        <w:t>：</w:t>
      </w:r>
    </w:p>
    <w:p>
      <w:pPr>
        <w:adjustRightInd w:val="0"/>
        <w:snapToGrid w:val="0"/>
        <w:spacing w:line="360" w:lineRule="auto"/>
        <w:ind w:firstLine="210" w:firstLineChars="100"/>
        <w:rPr>
          <w:rFonts w:ascii="宋体" w:hAnsi="宋体" w:eastAsia="宋体" w:cs="宋体"/>
          <w:szCs w:val="21"/>
        </w:rPr>
      </w:pPr>
      <w:r>
        <w:rPr>
          <w:rFonts w:hint="eastAsia" w:ascii="宋体" w:hAnsi="宋体" w:eastAsia="宋体" w:cs="宋体"/>
          <w:szCs w:val="21"/>
        </w:rPr>
        <w:t>（1）符合专业条件的投标人或者对招标文件做实质性响应的投标人不足3家；</w:t>
      </w:r>
    </w:p>
    <w:p>
      <w:pPr>
        <w:adjustRightInd w:val="0"/>
        <w:snapToGrid w:val="0"/>
        <w:spacing w:line="360" w:lineRule="auto"/>
        <w:ind w:firstLine="210" w:firstLineChars="100"/>
        <w:rPr>
          <w:rFonts w:ascii="宋体" w:hAnsi="宋体" w:eastAsia="宋体" w:cs="宋体"/>
          <w:szCs w:val="21"/>
        </w:rPr>
      </w:pPr>
      <w:r>
        <w:rPr>
          <w:rFonts w:hint="eastAsia" w:ascii="宋体" w:hAnsi="宋体" w:eastAsia="宋体" w:cs="宋体"/>
          <w:szCs w:val="21"/>
        </w:rPr>
        <w:t>（2）出现影响采购公正的违法、违规行为的；</w:t>
      </w:r>
    </w:p>
    <w:p>
      <w:pPr>
        <w:adjustRightInd w:val="0"/>
        <w:snapToGrid w:val="0"/>
        <w:spacing w:line="360" w:lineRule="auto"/>
        <w:ind w:firstLine="210" w:firstLineChars="100"/>
        <w:rPr>
          <w:rFonts w:ascii="宋体" w:hAnsi="宋体" w:eastAsia="宋体" w:cs="宋体"/>
          <w:szCs w:val="21"/>
        </w:rPr>
      </w:pPr>
      <w:r>
        <w:rPr>
          <w:rFonts w:hint="eastAsia" w:ascii="宋体" w:hAnsi="宋体" w:eastAsia="宋体" w:cs="宋体"/>
          <w:szCs w:val="21"/>
        </w:rPr>
        <w:t>（3）投标人的报价均超过了采购预算或最高限价，采购人不能支付的；</w:t>
      </w:r>
    </w:p>
    <w:p>
      <w:pPr>
        <w:adjustRightInd w:val="0"/>
        <w:snapToGrid w:val="0"/>
        <w:spacing w:line="360" w:lineRule="auto"/>
        <w:ind w:firstLine="210" w:firstLineChars="100"/>
        <w:rPr>
          <w:rFonts w:ascii="宋体" w:hAnsi="宋体" w:eastAsia="宋体" w:cs="宋体"/>
          <w:szCs w:val="21"/>
        </w:rPr>
      </w:pPr>
      <w:r>
        <w:rPr>
          <w:rFonts w:hint="eastAsia" w:ascii="宋体" w:hAnsi="宋体" w:eastAsia="宋体" w:cs="宋体"/>
          <w:szCs w:val="21"/>
        </w:rPr>
        <w:t>（4）在评审过程中若发现投标文件存在“投标文件制作机器码一致”情况存在，存在一致情形所有单位的投标文件按照均按照无效投标处理；</w:t>
      </w:r>
    </w:p>
    <w:p>
      <w:pPr>
        <w:adjustRightInd w:val="0"/>
        <w:snapToGrid w:val="0"/>
        <w:spacing w:line="360" w:lineRule="auto"/>
        <w:ind w:firstLine="210" w:firstLineChars="100"/>
        <w:rPr>
          <w:rFonts w:ascii="宋体" w:hAnsi="宋体" w:eastAsia="宋体" w:cs="宋体"/>
          <w:szCs w:val="21"/>
        </w:rPr>
      </w:pPr>
      <w:r>
        <w:rPr>
          <w:rFonts w:hint="eastAsia" w:ascii="宋体" w:hAnsi="宋体" w:eastAsia="宋体" w:cs="宋体"/>
          <w:szCs w:val="21"/>
        </w:rPr>
        <w:t>（5）因重大变故，采购任务取消的。</w:t>
      </w:r>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31.中标候选人的推荐原则及标准</w:t>
      </w:r>
    </w:p>
    <w:p>
      <w:pPr>
        <w:adjustRightInd w:val="0"/>
        <w:snapToGrid w:val="0"/>
        <w:spacing w:line="360" w:lineRule="auto"/>
        <w:rPr>
          <w:rFonts w:ascii="宋体" w:hAnsi="宋体" w:eastAsia="宋体" w:cs="宋体"/>
          <w:szCs w:val="21"/>
        </w:rPr>
      </w:pPr>
      <w:r>
        <w:rPr>
          <w:rFonts w:hint="eastAsia" w:ascii="宋体" w:hAnsi="宋体" w:eastAsia="宋体" w:cs="宋体"/>
          <w:szCs w:val="21"/>
        </w:rPr>
        <w:t>31.1除第30条规定外，评标委员会将根据评标标准，对实质上响应招标文件的投标人按下列方法进行排序，推荐中标候选人：</w:t>
      </w:r>
    </w:p>
    <w:p>
      <w:pPr>
        <w:adjustRightInd w:val="0"/>
        <w:snapToGrid w:val="0"/>
        <w:spacing w:line="360" w:lineRule="auto"/>
        <w:ind w:firstLine="210" w:firstLineChars="100"/>
        <w:rPr>
          <w:rFonts w:ascii="宋体" w:hAnsi="宋体" w:eastAsia="宋体" w:cs="宋体"/>
          <w:szCs w:val="21"/>
        </w:rPr>
      </w:pPr>
      <w:r>
        <w:rPr>
          <w:rFonts w:hint="eastAsia" w:ascii="宋体" w:hAnsi="宋体" w:eastAsia="宋体" w:cs="宋体"/>
          <w:szCs w:val="21"/>
        </w:rPr>
        <w:t>（1）采用最低评标价法的，除了算数修正和落实政府采购政策需进行的价格扣除外，不对投标人的投标价格进行任何调整。评标结果按修正和扣除后的投标报价由低到高顺序排列。报价相同的，按评标办法规定执行。</w:t>
      </w:r>
    </w:p>
    <w:p>
      <w:pPr>
        <w:adjustRightInd w:val="0"/>
        <w:snapToGrid w:val="0"/>
        <w:spacing w:line="360" w:lineRule="auto"/>
        <w:ind w:firstLine="210" w:firstLineChars="100"/>
        <w:rPr>
          <w:rFonts w:ascii="宋体" w:hAnsi="宋体" w:eastAsia="宋体" w:cs="宋体"/>
          <w:szCs w:val="21"/>
        </w:rPr>
      </w:pPr>
      <w:r>
        <w:rPr>
          <w:rFonts w:hint="eastAsia" w:ascii="宋体" w:hAnsi="宋体" w:eastAsia="宋体" w:cs="宋体"/>
          <w:szCs w:val="21"/>
        </w:rPr>
        <w:t>（2）采用综合评分法的，评标结果按评审后得分由高到低顺序排列。得分相同的，按评标办法规定执行。</w:t>
      </w:r>
    </w:p>
    <w:p>
      <w:pPr>
        <w:adjustRightInd w:val="0"/>
        <w:snapToGrid w:val="0"/>
        <w:spacing w:line="360" w:lineRule="auto"/>
        <w:rPr>
          <w:rFonts w:ascii="宋体" w:hAnsi="宋体" w:eastAsia="宋体" w:cs="宋体"/>
          <w:szCs w:val="21"/>
        </w:rPr>
      </w:pPr>
      <w:r>
        <w:rPr>
          <w:rFonts w:hint="eastAsia" w:ascii="宋体" w:hAnsi="宋体" w:eastAsia="宋体" w:cs="宋体"/>
          <w:szCs w:val="21"/>
        </w:rPr>
        <w:t>31.2评标委员会将根据评标标准，按投标人须知表31.2款中规定的数量推荐中标候选人。</w:t>
      </w:r>
    </w:p>
    <w:p>
      <w:pPr>
        <w:adjustRightInd w:val="0"/>
        <w:snapToGrid w:val="0"/>
        <w:spacing w:line="360" w:lineRule="auto"/>
        <w:rPr>
          <w:rFonts w:ascii="宋体" w:hAnsi="宋体" w:eastAsia="宋体" w:cs="宋体"/>
          <w:szCs w:val="21"/>
        </w:rPr>
      </w:pPr>
      <w:r>
        <w:rPr>
          <w:rFonts w:hint="eastAsia" w:ascii="宋体" w:hAnsi="宋体" w:eastAsia="宋体" w:cs="宋体"/>
          <w:szCs w:val="21"/>
        </w:rPr>
        <w:t>31.3因推荐中标候选人名单产生其他问题，由评标委员会集体研究处理。</w:t>
      </w:r>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32.保密原则</w:t>
      </w:r>
    </w:p>
    <w:p>
      <w:pPr>
        <w:adjustRightInd w:val="0"/>
        <w:snapToGrid w:val="0"/>
        <w:spacing w:line="360" w:lineRule="auto"/>
        <w:rPr>
          <w:rFonts w:ascii="宋体" w:hAnsi="宋体" w:eastAsia="宋体" w:cs="宋体"/>
          <w:szCs w:val="21"/>
        </w:rPr>
      </w:pPr>
      <w:r>
        <w:rPr>
          <w:rFonts w:hint="eastAsia" w:ascii="宋体" w:hAnsi="宋体" w:eastAsia="宋体" w:cs="宋体"/>
          <w:szCs w:val="21"/>
        </w:rPr>
        <w:t>32.1 评标将在严格保密的情况下进行。</w:t>
      </w:r>
    </w:p>
    <w:p>
      <w:pPr>
        <w:adjustRightInd w:val="0"/>
        <w:snapToGrid w:val="0"/>
        <w:spacing w:line="360" w:lineRule="auto"/>
        <w:rPr>
          <w:rFonts w:ascii="宋体" w:hAnsi="宋体" w:eastAsia="宋体" w:cs="宋体"/>
          <w:szCs w:val="21"/>
        </w:rPr>
      </w:pPr>
      <w:r>
        <w:rPr>
          <w:rFonts w:hint="eastAsia" w:ascii="宋体" w:hAnsi="宋体" w:eastAsia="宋体" w:cs="宋体"/>
          <w:szCs w:val="21"/>
        </w:rPr>
        <w:t>32.2 有关人员应当遵守评标工作纪律，不得泄露评审文件、评标情况和评标过程中获悉的国家秘密、商业秘密。</w:t>
      </w:r>
    </w:p>
    <w:p>
      <w:pPr>
        <w:pStyle w:val="4"/>
        <w:spacing w:line="360" w:lineRule="auto"/>
        <w:rPr>
          <w:rFonts w:ascii="宋体" w:hAnsi="宋体" w:eastAsia="宋体" w:cs="宋体"/>
        </w:rPr>
      </w:pPr>
      <w:bookmarkStart w:id="24" w:name="_Toc4544_WPSOffice_Level2"/>
      <w:bookmarkStart w:id="25" w:name="_Toc17434"/>
      <w:r>
        <w:rPr>
          <w:rFonts w:hint="eastAsia" w:ascii="宋体" w:hAnsi="宋体" w:eastAsia="宋体" w:cs="宋体"/>
        </w:rPr>
        <w:t>七 确定中标</w:t>
      </w:r>
      <w:bookmarkEnd w:id="24"/>
      <w:bookmarkEnd w:id="25"/>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33.确定中标人</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由采购人或者采购人委托评标委员会按照投标人须知表中规定的方式确定中标人，采购代理机构应当在评标结束后2个工作日内将评标报告送采购人。采购人在收到评标报告5个工作日内未按评标报告推荐的中标候选人顺序确定中标人，中标候选人并列的，由采购人采取随机抽取的方式确定中标人。又不能说明合法理由的，视同按评标报告推荐的顺序确定排名第一的中标候选人为中标人。</w:t>
      </w:r>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34.采购任务取消</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因重大变故采购任务取消时，采购人有权拒绝任何投标人中标，且对受影响的投标人不承担任何责任。</w:t>
      </w:r>
    </w:p>
    <w:p>
      <w:pPr>
        <w:numPr>
          <w:ilvl w:val="0"/>
          <w:numId w:val="3"/>
        </w:num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中标公告</w:t>
      </w:r>
    </w:p>
    <w:p>
      <w:pPr>
        <w:adjustRightInd w:val="0"/>
        <w:snapToGrid w:val="0"/>
        <w:spacing w:line="360" w:lineRule="auto"/>
        <w:rPr>
          <w:rFonts w:ascii="宋体" w:hAnsi="宋体" w:eastAsia="宋体" w:cs="宋体"/>
          <w:szCs w:val="21"/>
        </w:rPr>
      </w:pPr>
      <w:r>
        <w:rPr>
          <w:rFonts w:hint="eastAsia" w:ascii="宋体" w:hAnsi="宋体" w:eastAsia="宋体" w:cs="宋体"/>
          <w:szCs w:val="21"/>
        </w:rPr>
        <w:t>35.1采购人或者采购代理机构应当在省级以上人民政府财政部门指定的媒体上公告中标结果，中标通知书随中标结果同时发出。</w:t>
      </w:r>
    </w:p>
    <w:p>
      <w:pPr>
        <w:adjustRightInd w:val="0"/>
        <w:snapToGrid w:val="0"/>
        <w:spacing w:line="360" w:lineRule="auto"/>
        <w:rPr>
          <w:rFonts w:ascii="宋体" w:hAnsi="宋体" w:eastAsia="宋体" w:cs="宋体"/>
          <w:szCs w:val="21"/>
        </w:rPr>
      </w:pPr>
      <w:r>
        <w:rPr>
          <w:rFonts w:hint="eastAsia" w:ascii="宋体" w:hAnsi="宋体" w:eastAsia="宋体" w:cs="宋体"/>
          <w:szCs w:val="21"/>
        </w:rPr>
        <w:t>35.2中标公告内容应当包括采购人和采购代理机构的名称、地址、联系方式，项目名称和项目编号，中标或者中标投标人名称、地址和中标或者中标金额，主要中标或者中标标的的名称、规格型号、数量、单价、服务要求以及评审专家名单等。</w:t>
      </w:r>
    </w:p>
    <w:p>
      <w:pPr>
        <w:adjustRightInd w:val="0"/>
        <w:snapToGrid w:val="0"/>
        <w:spacing w:line="360" w:lineRule="auto"/>
        <w:rPr>
          <w:rFonts w:ascii="宋体" w:hAnsi="宋体" w:eastAsia="宋体" w:cs="宋体"/>
          <w:szCs w:val="21"/>
        </w:rPr>
      </w:pPr>
      <w:r>
        <w:rPr>
          <w:rFonts w:hint="eastAsia" w:ascii="宋体" w:hAnsi="宋体" w:eastAsia="宋体" w:cs="宋体"/>
          <w:szCs w:val="21"/>
        </w:rPr>
        <w:t>35.3邀请招标采购人采用书面推荐方式产生符合资格条件的潜在投标人的，还应当将所有被推荐投标人名单和推荐理由随中标结果同时公告。</w:t>
      </w:r>
    </w:p>
    <w:p>
      <w:pPr>
        <w:adjustRightInd w:val="0"/>
        <w:snapToGrid w:val="0"/>
        <w:spacing w:line="360" w:lineRule="auto"/>
        <w:rPr>
          <w:rFonts w:ascii="宋体" w:hAnsi="宋体" w:eastAsia="宋体" w:cs="宋体"/>
          <w:szCs w:val="21"/>
        </w:rPr>
      </w:pPr>
      <w:r>
        <w:rPr>
          <w:rFonts w:hint="eastAsia" w:ascii="宋体" w:hAnsi="宋体" w:eastAsia="宋体" w:cs="宋体"/>
          <w:szCs w:val="21"/>
        </w:rPr>
        <w:t>35.4中标投标人为中小企业的，应公告其《中小企业声明函》。</w:t>
      </w:r>
    </w:p>
    <w:p>
      <w:pPr>
        <w:adjustRightInd w:val="0"/>
        <w:snapToGrid w:val="0"/>
        <w:spacing w:line="360" w:lineRule="auto"/>
        <w:rPr>
          <w:rFonts w:ascii="宋体" w:hAnsi="宋体" w:eastAsia="宋体" w:cs="宋体"/>
          <w:szCs w:val="21"/>
        </w:rPr>
      </w:pPr>
      <w:r>
        <w:rPr>
          <w:rFonts w:hint="eastAsia" w:ascii="宋体" w:hAnsi="宋体" w:eastAsia="宋体" w:cs="宋体"/>
          <w:szCs w:val="21"/>
        </w:rPr>
        <w:t>35.5中标投标人为残疾人福利性单位的，应公告其《残疾人福利性单位声明函》。</w:t>
      </w:r>
    </w:p>
    <w:p>
      <w:pPr>
        <w:adjustRightInd w:val="0"/>
        <w:snapToGrid w:val="0"/>
        <w:spacing w:line="360" w:lineRule="auto"/>
        <w:rPr>
          <w:rFonts w:ascii="宋体" w:hAnsi="宋体" w:eastAsia="宋体" w:cs="宋体"/>
          <w:szCs w:val="21"/>
        </w:rPr>
      </w:pPr>
      <w:r>
        <w:rPr>
          <w:rFonts w:hint="eastAsia" w:ascii="宋体" w:hAnsi="宋体" w:eastAsia="宋体" w:cs="宋体"/>
          <w:szCs w:val="21"/>
        </w:rPr>
        <w:t>35.6中标投标人为注册地在国家级贫困县域内物业公司的，应公告注册所在县扶贫部门出具的聘用建档立卡贫困人员具体数量的证明。</w:t>
      </w:r>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36.中标通知书</w:t>
      </w:r>
    </w:p>
    <w:p>
      <w:pPr>
        <w:adjustRightInd w:val="0"/>
        <w:snapToGrid w:val="0"/>
        <w:spacing w:line="360" w:lineRule="auto"/>
        <w:rPr>
          <w:rFonts w:ascii="宋体" w:hAnsi="宋体" w:eastAsia="宋体" w:cs="宋体"/>
          <w:szCs w:val="21"/>
        </w:rPr>
      </w:pPr>
      <w:r>
        <w:rPr>
          <w:rFonts w:hint="eastAsia" w:ascii="宋体" w:hAnsi="宋体" w:eastAsia="宋体" w:cs="宋体"/>
          <w:szCs w:val="21"/>
        </w:rPr>
        <w:t>36.1、中标通知书发出后，采购人不得违法改变中标结果，中标人不得放弃中标，中标通知书是合同的组成部分。</w:t>
      </w:r>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37.签订合同</w:t>
      </w:r>
    </w:p>
    <w:p>
      <w:pPr>
        <w:adjustRightInd w:val="0"/>
        <w:snapToGrid w:val="0"/>
        <w:spacing w:line="360" w:lineRule="auto"/>
        <w:rPr>
          <w:rFonts w:ascii="宋体" w:hAnsi="宋体" w:eastAsia="宋体" w:cs="宋体"/>
          <w:szCs w:val="21"/>
        </w:rPr>
      </w:pPr>
      <w:r>
        <w:rPr>
          <w:rFonts w:hint="eastAsia" w:ascii="宋体" w:hAnsi="宋体" w:eastAsia="宋体" w:cs="宋体"/>
          <w:szCs w:val="21"/>
        </w:rPr>
        <w:t>37.1对于通过预留采购项目、预留专门采购包、 要求以联合体形式参加或者合同分包等措施签订的采购合同，应当明确标注本合同为中小企业预留合同。其中，要求以联合体形式参加采购活动或者合同分包的，应当将联合协议或者分包意向协议作为采购合同的组成部分，本项目是否为中小企业预留合同，详见须知表37.1项规定。</w:t>
      </w:r>
    </w:p>
    <w:p>
      <w:pPr>
        <w:adjustRightInd w:val="0"/>
        <w:snapToGrid w:val="0"/>
        <w:spacing w:line="360" w:lineRule="auto"/>
        <w:rPr>
          <w:rFonts w:ascii="宋体" w:hAnsi="宋体" w:eastAsia="宋体" w:cs="宋体"/>
          <w:szCs w:val="21"/>
        </w:rPr>
      </w:pPr>
      <w:r>
        <w:rPr>
          <w:rFonts w:hint="eastAsia" w:ascii="宋体" w:hAnsi="宋体" w:eastAsia="宋体" w:cs="宋体"/>
          <w:szCs w:val="21"/>
        </w:rPr>
        <w:t>37.2中标人应当自发出中标通知书之日起15个工作日内，与采购人签订书面合同。</w:t>
      </w:r>
    </w:p>
    <w:p>
      <w:pPr>
        <w:adjustRightInd w:val="0"/>
        <w:snapToGrid w:val="0"/>
        <w:spacing w:line="360" w:lineRule="auto"/>
        <w:rPr>
          <w:rFonts w:ascii="宋体" w:hAnsi="宋体" w:eastAsia="宋体" w:cs="宋体"/>
          <w:szCs w:val="21"/>
        </w:rPr>
      </w:pPr>
      <w:r>
        <w:rPr>
          <w:rFonts w:hint="eastAsia" w:ascii="宋体" w:hAnsi="宋体" w:eastAsia="宋体" w:cs="宋体"/>
          <w:szCs w:val="21"/>
        </w:rPr>
        <w:t>37.3招标文件、中标人的投标文件及其澄清文件等，均为签订合同的依据。所签订的合同不得对招标文件确定的事项和中标人投标文件作实质性修改。采购人不得向中标人提出任何不合理的要求，作为签订合同的条件。</w:t>
      </w:r>
    </w:p>
    <w:p>
      <w:pPr>
        <w:adjustRightInd w:val="0"/>
        <w:snapToGrid w:val="0"/>
        <w:spacing w:line="360" w:lineRule="auto"/>
        <w:rPr>
          <w:rFonts w:ascii="宋体" w:hAnsi="宋体" w:eastAsia="宋体" w:cs="宋体"/>
          <w:szCs w:val="21"/>
        </w:rPr>
      </w:pPr>
      <w:r>
        <w:rPr>
          <w:rFonts w:hint="eastAsia" w:ascii="宋体" w:hAnsi="宋体" w:eastAsia="宋体" w:cs="宋体"/>
          <w:szCs w:val="21"/>
        </w:rPr>
        <w:t>37.4中标人拒绝与采购人签订合同的，采购人可以按照评审报告推荐的中标候选人名单排序，确定下一中标候选人为中标人，也可以重新开展政府采购活动。</w:t>
      </w:r>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38.履约保证金</w:t>
      </w:r>
    </w:p>
    <w:p>
      <w:pPr>
        <w:adjustRightInd w:val="0"/>
        <w:snapToGrid w:val="0"/>
        <w:spacing w:line="360" w:lineRule="auto"/>
        <w:rPr>
          <w:rFonts w:ascii="宋体" w:hAnsi="宋体" w:eastAsia="宋体" w:cs="宋体"/>
          <w:szCs w:val="21"/>
        </w:rPr>
      </w:pPr>
      <w:r>
        <w:rPr>
          <w:rFonts w:hint="eastAsia" w:ascii="宋体" w:hAnsi="宋体" w:eastAsia="宋体" w:cs="宋体"/>
          <w:szCs w:val="21"/>
        </w:rPr>
        <w:t>38.1 中标人应按照投标人须知表38.1款规定向采购人缴纳履约保证金。</w:t>
      </w:r>
    </w:p>
    <w:p>
      <w:pPr>
        <w:adjustRightInd w:val="0"/>
        <w:snapToGrid w:val="0"/>
        <w:spacing w:line="360" w:lineRule="auto"/>
        <w:rPr>
          <w:rFonts w:ascii="宋体" w:hAnsi="宋体" w:eastAsia="宋体" w:cs="宋体"/>
          <w:szCs w:val="21"/>
        </w:rPr>
      </w:pPr>
      <w:r>
        <w:rPr>
          <w:rFonts w:hint="eastAsia" w:ascii="宋体" w:hAnsi="宋体" w:eastAsia="宋体" w:cs="宋体"/>
          <w:szCs w:val="21"/>
        </w:rPr>
        <w:t>38.2 如果中标人没有按照上述履约保证金的规定执行，将视为拒绝签订放弃中标资格，中标投标人须按投标保证承诺书的承诺向采购人和采购代理机构支付赔偿。在此情况下，采购人可确定下一中标候选人为中标人，也可以重新开展采购活动。</w:t>
      </w:r>
    </w:p>
    <w:p>
      <w:pPr>
        <w:adjustRightInd w:val="0"/>
        <w:snapToGrid w:val="0"/>
        <w:spacing w:line="360" w:lineRule="auto"/>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39.采购代理服务费</w:t>
      </w:r>
    </w:p>
    <w:p>
      <w:pPr>
        <w:adjustRightInd w:val="0"/>
        <w:snapToGrid w:val="0"/>
        <w:spacing w:line="360" w:lineRule="auto"/>
        <w:ind w:firstLine="210" w:firstLineChars="100"/>
        <w:rPr>
          <w:rFonts w:ascii="宋体" w:hAnsi="宋体" w:eastAsia="宋体" w:cs="宋体"/>
          <w:szCs w:val="21"/>
        </w:rPr>
      </w:pPr>
      <w:r>
        <w:rPr>
          <w:rFonts w:hint="eastAsia" w:ascii="宋体" w:hAnsi="宋体" w:eastAsia="宋体" w:cs="宋体"/>
          <w:szCs w:val="21"/>
        </w:rPr>
        <w:t>中标人须按照投标须知表39款规定，向采购代理机构支付招标代理服务费。</w:t>
      </w:r>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40.廉洁自律规定</w:t>
      </w:r>
    </w:p>
    <w:p>
      <w:pPr>
        <w:adjustRightInd w:val="0"/>
        <w:snapToGrid w:val="0"/>
        <w:spacing w:line="360" w:lineRule="auto"/>
        <w:rPr>
          <w:rFonts w:ascii="宋体" w:hAnsi="宋体" w:eastAsia="宋体" w:cs="宋体"/>
          <w:szCs w:val="21"/>
        </w:rPr>
      </w:pPr>
      <w:r>
        <w:rPr>
          <w:rFonts w:hint="eastAsia" w:ascii="宋体" w:hAnsi="宋体" w:eastAsia="宋体" w:cs="宋体"/>
          <w:szCs w:val="21"/>
        </w:rPr>
        <w:t>40.1 采购代理机构工作人员不得以不正当手段获取政府采购代理业务，不得与采购人、投标人恶意串通操纵政府采购活动。</w:t>
      </w:r>
    </w:p>
    <w:p>
      <w:pPr>
        <w:adjustRightInd w:val="0"/>
        <w:snapToGrid w:val="0"/>
        <w:spacing w:line="360" w:lineRule="auto"/>
        <w:rPr>
          <w:rFonts w:ascii="宋体" w:hAnsi="宋体" w:eastAsia="宋体" w:cs="宋体"/>
          <w:szCs w:val="21"/>
        </w:rPr>
      </w:pPr>
      <w:r>
        <w:rPr>
          <w:rFonts w:hint="eastAsia" w:ascii="宋体" w:hAnsi="宋体" w:eastAsia="宋体" w:cs="宋体"/>
          <w:szCs w:val="21"/>
        </w:rPr>
        <w:t>40.2 采购代理机构工作人员不得接受采购人或者投标人组织的宴请、旅游、娱乐，不得收受礼品、现金、有价证券等，不得向采购人或者投标人报销应当由个人承担的费用。</w:t>
      </w:r>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41.人员回避</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投标人认为采购人及其相关人员有法律法规所列与其他投标人有利害关系的，可以向采购人或采购代理机构书面提出回避申请，并说明理由。</w:t>
      </w:r>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42.质疑投诉</w:t>
      </w:r>
    </w:p>
    <w:p>
      <w:pPr>
        <w:adjustRightInd w:val="0"/>
        <w:snapToGrid w:val="0"/>
        <w:spacing w:line="360" w:lineRule="auto"/>
        <w:rPr>
          <w:rFonts w:ascii="宋体" w:hAnsi="宋体" w:eastAsia="宋体" w:cs="宋体"/>
          <w:szCs w:val="21"/>
        </w:rPr>
      </w:pPr>
      <w:r>
        <w:rPr>
          <w:rFonts w:hint="eastAsia" w:ascii="宋体" w:hAnsi="宋体" w:eastAsia="宋体" w:cs="宋体"/>
          <w:b/>
          <w:bCs/>
          <w:szCs w:val="21"/>
        </w:rPr>
        <w:t>42</w:t>
      </w:r>
      <w:r>
        <w:rPr>
          <w:rFonts w:hint="eastAsia" w:ascii="宋体" w:hAnsi="宋体" w:eastAsia="宋体" w:cs="宋体"/>
          <w:szCs w:val="21"/>
        </w:rPr>
        <w:t>.1 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pPr>
        <w:adjustRightInd w:val="0"/>
        <w:snapToGrid w:val="0"/>
        <w:spacing w:line="360" w:lineRule="auto"/>
        <w:rPr>
          <w:rFonts w:ascii="宋体" w:hAnsi="宋体" w:eastAsia="宋体" w:cs="宋体"/>
          <w:szCs w:val="21"/>
        </w:rPr>
      </w:pPr>
      <w:r>
        <w:rPr>
          <w:rFonts w:hint="eastAsia" w:ascii="宋体" w:hAnsi="宋体" w:eastAsia="宋体" w:cs="宋体"/>
          <w:szCs w:val="21"/>
        </w:rPr>
        <w:t>42.2 质疑投标人应按照财政部门制定的《政府采购质疑函范本》格式（详见河南省政府采购网）和《政府采购质疑和投诉办法》的要求，在法定质疑期内以纸质形式提出质疑，针对同一采购程序环节的质疑应一次性提出。</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超出法定质疑期的、重复提出的、分次提出的或内容、形式不符合《政府采购质疑和投诉办法》的，质疑投标人将依法承担不利后果。</w:t>
      </w:r>
    </w:p>
    <w:p>
      <w:pPr>
        <w:adjustRightInd w:val="0"/>
        <w:snapToGrid w:val="0"/>
        <w:spacing w:line="360" w:lineRule="auto"/>
        <w:rPr>
          <w:rFonts w:ascii="宋体" w:hAnsi="宋体" w:eastAsia="宋体" w:cs="宋体"/>
          <w:szCs w:val="21"/>
        </w:rPr>
      </w:pPr>
      <w:r>
        <w:rPr>
          <w:rFonts w:hint="eastAsia" w:ascii="宋体" w:hAnsi="宋体" w:eastAsia="宋体" w:cs="宋体"/>
          <w:szCs w:val="21"/>
        </w:rPr>
        <w:t>42.3 采购代理机构质疑函接收部门、联系电话和通讯地址, 见投标人须知表42.3款。</w:t>
      </w:r>
    </w:p>
    <w:p>
      <w:pPr>
        <w:adjustRightInd w:val="0"/>
        <w:snapToGrid w:val="0"/>
        <w:spacing w:line="360" w:lineRule="auto"/>
        <w:rPr>
          <w:rFonts w:ascii="宋体" w:hAnsi="宋体" w:eastAsia="宋体" w:cs="宋体"/>
          <w:b/>
          <w:bCs/>
          <w:szCs w:val="21"/>
        </w:rPr>
      </w:pPr>
      <w:r>
        <w:rPr>
          <w:rFonts w:hint="eastAsia" w:ascii="宋体" w:hAnsi="宋体" w:eastAsia="宋体" w:cs="宋体"/>
          <w:b/>
          <w:bCs/>
          <w:szCs w:val="21"/>
        </w:rPr>
        <w:t>43.履约验收</w:t>
      </w:r>
    </w:p>
    <w:p>
      <w:pPr>
        <w:adjustRightInd w:val="0"/>
        <w:snapToGrid w:val="0"/>
        <w:spacing w:line="360" w:lineRule="auto"/>
        <w:ind w:firstLine="420"/>
        <w:rPr>
          <w:rFonts w:ascii="宋体" w:hAnsi="宋体" w:eastAsia="宋体" w:cs="宋体"/>
          <w:szCs w:val="21"/>
        </w:rPr>
      </w:pPr>
      <w:r>
        <w:rPr>
          <w:rFonts w:hint="eastAsia" w:ascii="宋体" w:hAnsi="宋体" w:eastAsia="宋体" w:cs="宋体"/>
          <w:szCs w:val="21"/>
        </w:rPr>
        <w:t>本项目采购人及其委托的采购代理机构将严格按照政府采购相关法律法规以及关于进一步加强政府采购需求和履约验收管理的指导意见 [财库[2016]205号河南省财政厅关于加强政府采购合同监督管理工作的通知豫财购 〔2010〕24号的要求进行验收。</w:t>
      </w:r>
    </w:p>
    <w:p>
      <w:pPr>
        <w:pStyle w:val="55"/>
        <w:spacing w:line="360" w:lineRule="auto"/>
        <w:jc w:val="center"/>
        <w:rPr>
          <w:rFonts w:ascii="宋体" w:hAnsi="宋体" w:cs="宋体"/>
        </w:rPr>
      </w:pPr>
    </w:p>
    <w:p>
      <w:pPr>
        <w:pStyle w:val="55"/>
        <w:spacing w:line="360" w:lineRule="auto"/>
        <w:jc w:val="center"/>
        <w:outlineLvl w:val="1"/>
        <w:rPr>
          <w:rFonts w:ascii="宋体" w:hAnsi="宋体" w:cs="宋体"/>
          <w:b/>
          <w:sz w:val="28"/>
          <w:szCs w:val="24"/>
        </w:rPr>
      </w:pPr>
      <w:bookmarkStart w:id="26" w:name="_Toc12099"/>
      <w:r>
        <w:rPr>
          <w:rFonts w:hint="eastAsia" w:ascii="宋体" w:hAnsi="宋体" w:cs="宋体"/>
          <w:b/>
          <w:sz w:val="28"/>
          <w:szCs w:val="24"/>
        </w:rPr>
        <w:t>八 其他</w:t>
      </w:r>
      <w:bookmarkEnd w:id="26"/>
    </w:p>
    <w:p>
      <w:pPr>
        <w:pStyle w:val="55"/>
        <w:spacing w:line="360" w:lineRule="auto"/>
        <w:jc w:val="left"/>
        <w:rPr>
          <w:rFonts w:ascii="宋体" w:hAnsi="宋体" w:cs="宋体"/>
          <w:b/>
          <w:bCs/>
          <w:szCs w:val="21"/>
        </w:rPr>
      </w:pPr>
      <w:r>
        <w:rPr>
          <w:rFonts w:hint="eastAsia" w:ascii="宋体" w:hAnsi="宋体" w:cs="宋体"/>
          <w:b/>
          <w:bCs/>
          <w:szCs w:val="21"/>
        </w:rPr>
        <w:t>44.其他注意事项：详见需知表。</w:t>
      </w:r>
    </w:p>
    <w:p>
      <w:pPr>
        <w:spacing w:line="360" w:lineRule="auto"/>
        <w:rPr>
          <w:rFonts w:ascii="宋体" w:hAnsi="宋体" w:eastAsia="宋体" w:cs="宋体"/>
        </w:rPr>
      </w:pPr>
    </w:p>
    <w:p>
      <w:pPr>
        <w:pStyle w:val="55"/>
        <w:spacing w:line="360" w:lineRule="auto"/>
        <w:rPr>
          <w:rFonts w:ascii="宋体" w:hAnsi="宋体" w:cs="宋体"/>
        </w:rPr>
        <w:sectPr>
          <w:footerReference r:id="rId5" w:type="default"/>
          <w:pgSz w:w="11906" w:h="16838"/>
          <w:pgMar w:top="1440" w:right="1800" w:bottom="1440" w:left="1800" w:header="851" w:footer="992" w:gutter="0"/>
          <w:pgNumType w:start="1"/>
          <w:cols w:space="720" w:num="1"/>
          <w:docGrid w:type="lines" w:linePitch="312" w:charSpace="0"/>
        </w:sectPr>
      </w:pPr>
    </w:p>
    <w:p>
      <w:pPr>
        <w:pStyle w:val="3"/>
        <w:spacing w:line="360" w:lineRule="auto"/>
        <w:rPr>
          <w:rFonts w:ascii="宋体" w:hAnsi="宋体" w:cs="宋体"/>
        </w:rPr>
      </w:pPr>
      <w:bookmarkStart w:id="27" w:name="_Toc18793"/>
      <w:r>
        <w:rPr>
          <w:rFonts w:hint="eastAsia" w:ascii="宋体" w:hAnsi="宋体" w:cs="宋体"/>
        </w:rPr>
        <w:t xml:space="preserve">第三章 </w:t>
      </w:r>
      <w:bookmarkStart w:id="28" w:name="_Toc26322_WPSOffice_Level2"/>
      <w:bookmarkStart w:id="29" w:name="_Toc21090_WPSOffice_Level2"/>
      <w:r>
        <w:rPr>
          <w:rFonts w:hint="eastAsia" w:ascii="宋体" w:hAnsi="宋体" w:cs="宋体"/>
        </w:rPr>
        <w:t>评标办法（综合评分法）</w:t>
      </w:r>
      <w:bookmarkEnd w:id="27"/>
    </w:p>
    <w:p>
      <w:pPr>
        <w:pStyle w:val="4"/>
        <w:spacing w:line="360" w:lineRule="auto"/>
        <w:rPr>
          <w:rFonts w:asciiTheme="minorEastAsia" w:hAnsiTheme="minorEastAsia" w:eastAsiaTheme="minorEastAsia" w:cstheme="minorEastAsia"/>
          <w:bCs/>
          <w:sz w:val="32"/>
          <w:szCs w:val="32"/>
        </w:rPr>
      </w:pPr>
      <w:bookmarkStart w:id="30" w:name="_Toc30398"/>
      <w:bookmarkStart w:id="31" w:name="_Toc11714"/>
      <w:bookmarkStart w:id="32" w:name="_Toc9927"/>
      <w:bookmarkStart w:id="33" w:name="_Toc13197"/>
      <w:bookmarkStart w:id="34" w:name="_Toc26455"/>
      <w:bookmarkStart w:id="35" w:name="_Toc16729"/>
      <w:bookmarkStart w:id="36" w:name="_Toc28519"/>
      <w:bookmarkStart w:id="37" w:name="_Toc27205"/>
      <w:bookmarkStart w:id="38" w:name="_Toc6735"/>
      <w:bookmarkStart w:id="39" w:name="_Toc27033"/>
      <w:bookmarkStart w:id="40" w:name="_Toc21173"/>
      <w:r>
        <w:rPr>
          <w:rFonts w:hint="eastAsia" w:asciiTheme="minorEastAsia" w:hAnsiTheme="minorEastAsia" w:eastAsiaTheme="minorEastAsia" w:cstheme="minorEastAsia"/>
          <w:bCs/>
          <w:sz w:val="32"/>
          <w:szCs w:val="32"/>
        </w:rPr>
        <w:t>一、资格审查前附表</w:t>
      </w:r>
      <w:bookmarkEnd w:id="30"/>
      <w:bookmarkEnd w:id="31"/>
      <w:bookmarkEnd w:id="32"/>
      <w:bookmarkEnd w:id="33"/>
      <w:bookmarkEnd w:id="34"/>
      <w:bookmarkEnd w:id="35"/>
      <w:bookmarkEnd w:id="36"/>
      <w:bookmarkEnd w:id="37"/>
      <w:bookmarkEnd w:id="38"/>
      <w:bookmarkEnd w:id="39"/>
      <w:bookmarkEnd w:id="40"/>
    </w:p>
    <w:tbl>
      <w:tblPr>
        <w:tblStyle w:val="29"/>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2"/>
        <w:gridCol w:w="3415"/>
        <w:gridCol w:w="50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exact"/>
          <w:jc w:val="center"/>
        </w:trPr>
        <w:tc>
          <w:tcPr>
            <w:tcW w:w="972"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条款</w:t>
            </w:r>
          </w:p>
        </w:tc>
        <w:tc>
          <w:tcPr>
            <w:tcW w:w="3415"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评审因素</w:t>
            </w:r>
          </w:p>
        </w:tc>
        <w:tc>
          <w:tcPr>
            <w:tcW w:w="5013"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exact"/>
          <w:jc w:val="center"/>
        </w:trPr>
        <w:tc>
          <w:tcPr>
            <w:tcW w:w="972" w:type="dxa"/>
            <w:vMerge w:val="restart"/>
            <w:vAlign w:val="center"/>
          </w:tcPr>
          <w:p>
            <w:pPr>
              <w:widowControl/>
              <w:spacing w:line="360" w:lineRule="auto"/>
              <w:jc w:val="center"/>
              <w:rPr>
                <w:rFonts w:ascii="宋体" w:hAnsi="宋体" w:eastAsia="宋体" w:cs="宋体"/>
                <w:kern w:val="0"/>
                <w:szCs w:val="21"/>
              </w:rPr>
            </w:pPr>
            <w:r>
              <w:rPr>
                <w:rFonts w:hint="eastAsia" w:ascii="宋体" w:hAnsi="宋体" w:eastAsia="宋体" w:cs="宋体"/>
                <w:szCs w:val="21"/>
              </w:rPr>
              <w:t>资格审查</w:t>
            </w:r>
            <w:r>
              <w:rPr>
                <w:rFonts w:hint="eastAsia" w:ascii="宋体" w:hAnsi="宋体" w:eastAsia="宋体" w:cs="宋体"/>
                <w:kern w:val="0"/>
                <w:szCs w:val="21"/>
              </w:rPr>
              <w:t>标准</w:t>
            </w:r>
          </w:p>
        </w:tc>
        <w:tc>
          <w:tcPr>
            <w:tcW w:w="3415"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投标人名称</w:t>
            </w:r>
          </w:p>
        </w:tc>
        <w:tc>
          <w:tcPr>
            <w:tcW w:w="5013"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与营业执照一致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exact"/>
          <w:jc w:val="center"/>
        </w:trPr>
        <w:tc>
          <w:tcPr>
            <w:tcW w:w="972" w:type="dxa"/>
            <w:vMerge w:val="continue"/>
            <w:vAlign w:val="center"/>
          </w:tcPr>
          <w:p>
            <w:pPr>
              <w:widowControl/>
              <w:spacing w:line="360" w:lineRule="auto"/>
              <w:jc w:val="center"/>
              <w:rPr>
                <w:rFonts w:ascii="宋体" w:hAnsi="宋体" w:eastAsia="宋体" w:cs="宋体"/>
                <w:kern w:val="0"/>
                <w:szCs w:val="21"/>
              </w:rPr>
            </w:pPr>
          </w:p>
        </w:tc>
        <w:tc>
          <w:tcPr>
            <w:tcW w:w="3415"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营业执照</w:t>
            </w:r>
          </w:p>
        </w:tc>
        <w:tc>
          <w:tcPr>
            <w:tcW w:w="5013"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具备有效的营业执照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exact"/>
          <w:jc w:val="center"/>
        </w:trPr>
        <w:tc>
          <w:tcPr>
            <w:tcW w:w="972" w:type="dxa"/>
            <w:vMerge w:val="continue"/>
            <w:vAlign w:val="center"/>
          </w:tcPr>
          <w:p>
            <w:pPr>
              <w:widowControl/>
              <w:spacing w:line="360" w:lineRule="auto"/>
              <w:jc w:val="center"/>
              <w:rPr>
                <w:rFonts w:ascii="宋体" w:hAnsi="宋体" w:eastAsia="宋体" w:cs="宋体"/>
                <w:kern w:val="0"/>
                <w:szCs w:val="21"/>
              </w:rPr>
            </w:pPr>
          </w:p>
        </w:tc>
        <w:tc>
          <w:tcPr>
            <w:tcW w:w="3415"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信用</w:t>
            </w:r>
            <w:r>
              <w:rPr>
                <w:rFonts w:ascii="宋体" w:hAnsi="宋体" w:eastAsia="宋体" w:cs="宋体"/>
                <w:kern w:val="0"/>
                <w:szCs w:val="21"/>
              </w:rPr>
              <w:t>信息查询</w:t>
            </w:r>
            <w:r>
              <w:rPr>
                <w:rFonts w:hint="eastAsia" w:ascii="宋体" w:hAnsi="宋体" w:eastAsia="宋体" w:cs="宋体"/>
                <w:kern w:val="0"/>
                <w:szCs w:val="21"/>
              </w:rPr>
              <w:t>记录</w:t>
            </w:r>
          </w:p>
        </w:tc>
        <w:tc>
          <w:tcPr>
            <w:tcW w:w="5013"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符合第二章“投标人须知前附表1.3.5”规定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exact"/>
          <w:jc w:val="center"/>
        </w:trPr>
        <w:tc>
          <w:tcPr>
            <w:tcW w:w="972" w:type="dxa"/>
            <w:vMerge w:val="continue"/>
            <w:vAlign w:val="center"/>
          </w:tcPr>
          <w:p>
            <w:pPr>
              <w:widowControl/>
              <w:spacing w:line="360" w:lineRule="auto"/>
              <w:jc w:val="center"/>
              <w:rPr>
                <w:rFonts w:ascii="宋体" w:hAnsi="宋体" w:eastAsia="宋体" w:cs="宋体"/>
                <w:kern w:val="0"/>
                <w:szCs w:val="21"/>
              </w:rPr>
            </w:pPr>
          </w:p>
        </w:tc>
        <w:tc>
          <w:tcPr>
            <w:tcW w:w="3415"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财务</w:t>
            </w:r>
            <w:r>
              <w:rPr>
                <w:rFonts w:ascii="宋体" w:hAnsi="宋体" w:eastAsia="宋体" w:cs="宋体"/>
                <w:kern w:val="0"/>
                <w:szCs w:val="21"/>
              </w:rPr>
              <w:t>状况</w:t>
            </w:r>
            <w:r>
              <w:rPr>
                <w:rFonts w:hint="eastAsia" w:ascii="宋体" w:hAnsi="宋体" w:eastAsia="宋体" w:cs="宋体"/>
                <w:kern w:val="0"/>
                <w:szCs w:val="21"/>
              </w:rPr>
              <w:t>报告</w:t>
            </w:r>
          </w:p>
        </w:tc>
        <w:tc>
          <w:tcPr>
            <w:tcW w:w="5013"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符合第二章“投标人须知前附表1.3.5”规定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exact"/>
          <w:jc w:val="center"/>
        </w:trPr>
        <w:tc>
          <w:tcPr>
            <w:tcW w:w="972" w:type="dxa"/>
            <w:vMerge w:val="continue"/>
            <w:vAlign w:val="center"/>
          </w:tcPr>
          <w:p>
            <w:pPr>
              <w:widowControl/>
              <w:spacing w:line="360" w:lineRule="auto"/>
              <w:jc w:val="center"/>
              <w:rPr>
                <w:rFonts w:ascii="宋体" w:hAnsi="宋体" w:eastAsia="宋体" w:cs="宋体"/>
                <w:kern w:val="0"/>
                <w:szCs w:val="21"/>
              </w:rPr>
            </w:pPr>
          </w:p>
        </w:tc>
        <w:tc>
          <w:tcPr>
            <w:tcW w:w="3415"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纳税要求</w:t>
            </w:r>
          </w:p>
        </w:tc>
        <w:tc>
          <w:tcPr>
            <w:tcW w:w="5013"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符合第二章“投标人须知前附表1.3.5”规定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exact"/>
          <w:jc w:val="center"/>
        </w:trPr>
        <w:tc>
          <w:tcPr>
            <w:tcW w:w="972" w:type="dxa"/>
            <w:vMerge w:val="continue"/>
            <w:vAlign w:val="center"/>
          </w:tcPr>
          <w:p>
            <w:pPr>
              <w:widowControl/>
              <w:spacing w:line="360" w:lineRule="auto"/>
              <w:jc w:val="center"/>
              <w:rPr>
                <w:rFonts w:ascii="宋体" w:hAnsi="宋体" w:eastAsia="宋体" w:cs="宋体"/>
                <w:kern w:val="0"/>
                <w:szCs w:val="21"/>
              </w:rPr>
            </w:pPr>
          </w:p>
        </w:tc>
        <w:tc>
          <w:tcPr>
            <w:tcW w:w="3415"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社会保险要求</w:t>
            </w:r>
          </w:p>
        </w:tc>
        <w:tc>
          <w:tcPr>
            <w:tcW w:w="5013"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符合第二章“投标人须知前附表1.3.5”规定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exact"/>
          <w:jc w:val="center"/>
        </w:trPr>
        <w:tc>
          <w:tcPr>
            <w:tcW w:w="972" w:type="dxa"/>
            <w:vMerge w:val="continue"/>
            <w:vAlign w:val="center"/>
          </w:tcPr>
          <w:p>
            <w:pPr>
              <w:widowControl/>
              <w:spacing w:line="360" w:lineRule="auto"/>
              <w:jc w:val="center"/>
              <w:rPr>
                <w:rFonts w:ascii="宋体" w:hAnsi="宋体" w:eastAsia="宋体" w:cs="宋体"/>
                <w:kern w:val="0"/>
                <w:szCs w:val="21"/>
              </w:rPr>
            </w:pPr>
          </w:p>
        </w:tc>
        <w:tc>
          <w:tcPr>
            <w:tcW w:w="3415"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具有履行合同所必需的设备和专业技术能力</w:t>
            </w:r>
          </w:p>
        </w:tc>
        <w:tc>
          <w:tcPr>
            <w:tcW w:w="5013"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符合第二章“投标人须知前附表1.3.5”规定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exact"/>
          <w:jc w:val="center"/>
        </w:trPr>
        <w:tc>
          <w:tcPr>
            <w:tcW w:w="972" w:type="dxa"/>
            <w:vMerge w:val="continue"/>
            <w:vAlign w:val="center"/>
          </w:tcPr>
          <w:p>
            <w:pPr>
              <w:widowControl/>
              <w:spacing w:line="360" w:lineRule="auto"/>
              <w:jc w:val="center"/>
              <w:rPr>
                <w:rFonts w:ascii="宋体" w:hAnsi="宋体" w:eastAsia="宋体" w:cs="宋体"/>
                <w:kern w:val="0"/>
                <w:szCs w:val="21"/>
              </w:rPr>
            </w:pPr>
          </w:p>
        </w:tc>
        <w:tc>
          <w:tcPr>
            <w:tcW w:w="3415"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参加政府采购活动前三年内，在经营活动中没有重大违法记录</w:t>
            </w:r>
          </w:p>
        </w:tc>
        <w:tc>
          <w:tcPr>
            <w:tcW w:w="5013"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符合第二章“投标人须知前附表1.3.5”规定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exact"/>
          <w:jc w:val="center"/>
        </w:trPr>
        <w:tc>
          <w:tcPr>
            <w:tcW w:w="972" w:type="dxa"/>
            <w:vMerge w:val="continue"/>
            <w:vAlign w:val="center"/>
          </w:tcPr>
          <w:p>
            <w:pPr>
              <w:widowControl/>
              <w:spacing w:line="360" w:lineRule="auto"/>
              <w:jc w:val="center"/>
              <w:rPr>
                <w:rFonts w:ascii="宋体" w:hAnsi="宋体" w:eastAsia="宋体" w:cs="宋体"/>
                <w:kern w:val="0"/>
                <w:szCs w:val="21"/>
              </w:rPr>
            </w:pPr>
          </w:p>
        </w:tc>
        <w:tc>
          <w:tcPr>
            <w:tcW w:w="3415"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单位负责人为同一人或者存在直接控股、管理关系的不同投标人，不得同时参加投标</w:t>
            </w:r>
          </w:p>
        </w:tc>
        <w:tc>
          <w:tcPr>
            <w:tcW w:w="5013"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符合第二章“投标人须知前附表1.3.5”规定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exact"/>
          <w:jc w:val="center"/>
        </w:trPr>
        <w:tc>
          <w:tcPr>
            <w:tcW w:w="972" w:type="dxa"/>
            <w:vMerge w:val="continue"/>
            <w:vAlign w:val="center"/>
          </w:tcPr>
          <w:p>
            <w:pPr>
              <w:widowControl/>
              <w:spacing w:line="360" w:lineRule="auto"/>
              <w:jc w:val="center"/>
              <w:rPr>
                <w:rFonts w:ascii="宋体" w:hAnsi="宋体" w:eastAsia="宋体" w:cs="宋体"/>
                <w:kern w:val="0"/>
                <w:szCs w:val="21"/>
              </w:rPr>
            </w:pPr>
          </w:p>
        </w:tc>
        <w:tc>
          <w:tcPr>
            <w:tcW w:w="3415"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本次招标不接受联合体投标</w:t>
            </w:r>
          </w:p>
          <w:p>
            <w:pPr>
              <w:widowControl/>
              <w:spacing w:line="360" w:lineRule="auto"/>
              <w:jc w:val="center"/>
              <w:rPr>
                <w:rFonts w:ascii="宋体" w:hAnsi="宋体" w:eastAsia="宋体" w:cs="宋体"/>
                <w:kern w:val="0"/>
                <w:szCs w:val="21"/>
              </w:rPr>
            </w:pPr>
          </w:p>
        </w:tc>
        <w:tc>
          <w:tcPr>
            <w:tcW w:w="5013" w:type="dxa"/>
            <w:vAlign w:val="center"/>
          </w:tcPr>
          <w:p>
            <w:pPr>
              <w:widowControl/>
              <w:spacing w:line="360" w:lineRule="auto"/>
              <w:jc w:val="center"/>
              <w:rPr>
                <w:rFonts w:ascii="宋体" w:hAnsi="宋体" w:eastAsia="宋体" w:cs="宋体"/>
                <w:kern w:val="0"/>
                <w:szCs w:val="21"/>
              </w:rPr>
            </w:pPr>
            <w:r>
              <w:rPr>
                <w:rFonts w:ascii="宋体" w:hAnsi="宋体" w:eastAsia="宋体" w:cs="宋体"/>
                <w:kern w:val="0"/>
                <w:szCs w:val="21"/>
              </w:rPr>
              <w:t>提供非联合体声明</w:t>
            </w:r>
          </w:p>
        </w:tc>
      </w:tr>
    </w:tbl>
    <w:p>
      <w:pPr>
        <w:pStyle w:val="5"/>
        <w:numPr>
          <w:ilvl w:val="0"/>
          <w:numId w:val="4"/>
        </w:numPr>
        <w:rPr>
          <w:rFonts w:eastAsia="宋体"/>
        </w:rPr>
      </w:pPr>
      <w:bookmarkStart w:id="41" w:name="_Toc25514"/>
      <w:bookmarkStart w:id="42" w:name="_Toc2378"/>
      <w:bookmarkStart w:id="43" w:name="_Toc4499"/>
      <w:bookmarkStart w:id="44" w:name="_Toc23399"/>
      <w:bookmarkStart w:id="45" w:name="_Toc16293"/>
      <w:bookmarkStart w:id="46" w:name="_Toc21337"/>
      <w:bookmarkStart w:id="47" w:name="_Toc465"/>
      <w:bookmarkStart w:id="48" w:name="_Toc1301"/>
      <w:bookmarkStart w:id="49" w:name="_Toc19241"/>
      <w:bookmarkStart w:id="50" w:name="_Toc16607"/>
      <w:bookmarkStart w:id="51" w:name="_Toc16266"/>
      <w:r>
        <w:rPr>
          <w:rFonts w:hint="eastAsia" w:eastAsia="宋体"/>
          <w:sz w:val="24"/>
          <w:szCs w:val="24"/>
        </w:rPr>
        <w:t>资格审查</w:t>
      </w:r>
      <w:bookmarkEnd w:id="41"/>
      <w:bookmarkEnd w:id="42"/>
      <w:bookmarkEnd w:id="43"/>
      <w:bookmarkEnd w:id="44"/>
      <w:bookmarkEnd w:id="45"/>
      <w:bookmarkEnd w:id="46"/>
      <w:bookmarkEnd w:id="47"/>
      <w:bookmarkEnd w:id="48"/>
      <w:bookmarkEnd w:id="49"/>
      <w:bookmarkEnd w:id="50"/>
      <w:bookmarkEnd w:id="51"/>
    </w:p>
    <w:p>
      <w:pPr>
        <w:spacing w:line="360" w:lineRule="auto"/>
        <w:ind w:firstLine="420" w:firstLineChars="200"/>
        <w:rPr>
          <w:rFonts w:ascii="宋体" w:hAnsi="宋体" w:eastAsia="宋体" w:cs="宋体"/>
          <w:szCs w:val="21"/>
        </w:rPr>
      </w:pPr>
      <w:r>
        <w:rPr>
          <w:rFonts w:hint="eastAsia" w:ascii="宋体" w:hAnsi="宋体" w:eastAsia="宋体" w:cs="宋体"/>
        </w:rPr>
        <w:t>开标结束后，采购人或者采购代理机构应当依法对投标人的资格进行审查。</w:t>
      </w:r>
    </w:p>
    <w:p>
      <w:pPr>
        <w:pStyle w:val="5"/>
        <w:numPr>
          <w:ilvl w:val="0"/>
          <w:numId w:val="4"/>
        </w:numPr>
        <w:rPr>
          <w:rFonts w:eastAsia="宋体"/>
        </w:rPr>
      </w:pPr>
      <w:bookmarkStart w:id="52" w:name="_Toc21593"/>
      <w:bookmarkStart w:id="53" w:name="_Toc11542"/>
      <w:bookmarkStart w:id="54" w:name="_Toc12137"/>
      <w:bookmarkStart w:id="55" w:name="_Toc8280"/>
      <w:bookmarkStart w:id="56" w:name="_Toc2610"/>
      <w:bookmarkStart w:id="57" w:name="_Toc18033"/>
      <w:bookmarkStart w:id="58" w:name="_Toc29893"/>
      <w:bookmarkStart w:id="59" w:name="_Toc8631"/>
      <w:bookmarkStart w:id="60" w:name="_Toc6195"/>
      <w:bookmarkStart w:id="61" w:name="_Toc3310"/>
      <w:bookmarkStart w:id="62" w:name="_Toc23230"/>
      <w:r>
        <w:rPr>
          <w:rFonts w:hint="eastAsia" w:eastAsia="宋体"/>
        </w:rPr>
        <w:t>资格审查标准</w:t>
      </w:r>
      <w:bookmarkEnd w:id="52"/>
      <w:bookmarkEnd w:id="53"/>
      <w:bookmarkEnd w:id="54"/>
      <w:bookmarkEnd w:id="55"/>
      <w:bookmarkEnd w:id="56"/>
      <w:bookmarkEnd w:id="57"/>
      <w:bookmarkEnd w:id="58"/>
      <w:bookmarkEnd w:id="59"/>
      <w:bookmarkEnd w:id="60"/>
      <w:bookmarkEnd w:id="61"/>
      <w:bookmarkEnd w:id="62"/>
    </w:p>
    <w:p>
      <w:pPr>
        <w:autoSpaceDE w:val="0"/>
        <w:autoSpaceDN w:val="0"/>
        <w:adjustRightInd w:val="0"/>
        <w:spacing w:line="360" w:lineRule="auto"/>
        <w:ind w:right="-20"/>
        <w:jc w:val="left"/>
        <w:rPr>
          <w:rFonts w:ascii="宋体" w:hAnsi="宋体" w:eastAsia="宋体" w:cs="宋体"/>
        </w:rPr>
      </w:pPr>
      <w:r>
        <w:rPr>
          <w:rFonts w:hint="eastAsia" w:ascii="宋体" w:hAnsi="宋体" w:eastAsia="宋体" w:cs="宋体"/>
          <w:kern w:val="0"/>
          <w:szCs w:val="21"/>
        </w:rPr>
        <w:t xml:space="preserve">    资格审查标准：见资格审查前附表。</w:t>
      </w:r>
    </w:p>
    <w:p>
      <w:pPr>
        <w:pStyle w:val="5"/>
        <w:numPr>
          <w:ilvl w:val="0"/>
          <w:numId w:val="4"/>
        </w:numPr>
        <w:rPr>
          <w:rFonts w:eastAsia="宋体"/>
        </w:rPr>
      </w:pPr>
      <w:bookmarkStart w:id="63" w:name="_Toc32375"/>
      <w:bookmarkStart w:id="64" w:name="_Toc28719"/>
      <w:bookmarkStart w:id="65" w:name="_Toc19383"/>
      <w:bookmarkStart w:id="66" w:name="_Toc13549"/>
      <w:bookmarkStart w:id="67" w:name="_Toc920"/>
      <w:bookmarkStart w:id="68" w:name="_Toc2029"/>
      <w:bookmarkStart w:id="69" w:name="_Toc2259"/>
      <w:bookmarkStart w:id="70" w:name="_Toc5940"/>
      <w:bookmarkStart w:id="71" w:name="_Toc14072"/>
      <w:bookmarkStart w:id="72" w:name="_Toc16031"/>
      <w:bookmarkStart w:id="73" w:name="_Toc10180"/>
      <w:r>
        <w:rPr>
          <w:rFonts w:hint="eastAsia" w:eastAsia="宋体"/>
        </w:rPr>
        <w:t>资格审查程序</w:t>
      </w:r>
      <w:bookmarkEnd w:id="63"/>
      <w:bookmarkEnd w:id="64"/>
      <w:bookmarkEnd w:id="65"/>
      <w:bookmarkEnd w:id="66"/>
      <w:bookmarkEnd w:id="67"/>
      <w:bookmarkEnd w:id="68"/>
      <w:bookmarkEnd w:id="69"/>
      <w:bookmarkEnd w:id="70"/>
      <w:bookmarkEnd w:id="71"/>
      <w:bookmarkEnd w:id="72"/>
      <w:bookmarkEnd w:id="73"/>
    </w:p>
    <w:p>
      <w:pPr>
        <w:autoSpaceDE w:val="0"/>
        <w:autoSpaceDN w:val="0"/>
        <w:adjustRightInd w:val="0"/>
        <w:spacing w:line="360" w:lineRule="auto"/>
        <w:ind w:right="40" w:firstLine="412" w:firstLineChars="200"/>
        <w:jc w:val="left"/>
        <w:rPr>
          <w:rFonts w:ascii="宋体" w:hAnsi="宋体" w:eastAsia="宋体" w:cs="宋体"/>
          <w:b/>
          <w:bCs/>
          <w:sz w:val="32"/>
          <w:szCs w:val="32"/>
        </w:rPr>
      </w:pPr>
      <w:r>
        <w:rPr>
          <w:rFonts w:hint="eastAsia" w:ascii="宋体" w:hAnsi="宋体" w:eastAsia="宋体" w:cs="宋体"/>
          <w:spacing w:val="-2"/>
          <w:kern w:val="0"/>
          <w:szCs w:val="21"/>
        </w:rPr>
        <w:t>资格审查人员依</w:t>
      </w:r>
      <w:r>
        <w:rPr>
          <w:rFonts w:hint="eastAsia" w:ascii="宋体" w:hAnsi="宋体" w:eastAsia="宋体" w:cs="宋体"/>
          <w:kern w:val="0"/>
          <w:szCs w:val="21"/>
        </w:rPr>
        <w:t>据本</w:t>
      </w:r>
      <w:r>
        <w:rPr>
          <w:rFonts w:hint="eastAsia" w:ascii="宋体" w:hAnsi="宋体" w:eastAsia="宋体" w:cs="宋体"/>
          <w:spacing w:val="-2"/>
          <w:kern w:val="0"/>
          <w:szCs w:val="21"/>
        </w:rPr>
        <w:t>章</w:t>
      </w:r>
      <w:r>
        <w:rPr>
          <w:rFonts w:hint="eastAsia" w:ascii="宋体" w:hAnsi="宋体" w:eastAsia="宋体" w:cs="宋体"/>
          <w:kern w:val="0"/>
          <w:szCs w:val="21"/>
        </w:rPr>
        <w:t>资格审查前附表</w:t>
      </w:r>
      <w:r>
        <w:rPr>
          <w:rFonts w:hint="eastAsia" w:ascii="宋体" w:hAnsi="宋体" w:eastAsia="宋体" w:cs="宋体"/>
          <w:spacing w:val="-2"/>
          <w:kern w:val="0"/>
          <w:szCs w:val="21"/>
        </w:rPr>
        <w:t>规</w:t>
      </w:r>
      <w:r>
        <w:rPr>
          <w:rFonts w:hint="eastAsia" w:ascii="宋体" w:hAnsi="宋体" w:eastAsia="宋体" w:cs="宋体"/>
          <w:kern w:val="0"/>
          <w:szCs w:val="21"/>
        </w:rPr>
        <w:t>定</w:t>
      </w:r>
      <w:r>
        <w:rPr>
          <w:rFonts w:hint="eastAsia" w:ascii="宋体" w:hAnsi="宋体" w:eastAsia="宋体" w:cs="宋体"/>
          <w:spacing w:val="-2"/>
          <w:kern w:val="0"/>
          <w:szCs w:val="21"/>
        </w:rPr>
        <w:t>的标</w:t>
      </w:r>
      <w:r>
        <w:rPr>
          <w:rFonts w:hint="eastAsia" w:ascii="宋体" w:hAnsi="宋体" w:eastAsia="宋体" w:cs="宋体"/>
          <w:kern w:val="0"/>
          <w:szCs w:val="21"/>
        </w:rPr>
        <w:t>准对</w:t>
      </w:r>
      <w:r>
        <w:rPr>
          <w:rFonts w:hint="eastAsia" w:ascii="宋体" w:hAnsi="宋体" w:eastAsia="宋体" w:cs="宋体"/>
          <w:spacing w:val="-2"/>
          <w:kern w:val="0"/>
          <w:szCs w:val="21"/>
        </w:rPr>
        <w:t>投</w:t>
      </w:r>
      <w:r>
        <w:rPr>
          <w:rFonts w:hint="eastAsia" w:ascii="宋体" w:hAnsi="宋体" w:eastAsia="宋体" w:cs="宋体"/>
          <w:kern w:val="0"/>
          <w:szCs w:val="21"/>
        </w:rPr>
        <w:t>标</w:t>
      </w:r>
      <w:r>
        <w:rPr>
          <w:rFonts w:hint="eastAsia" w:ascii="宋体" w:hAnsi="宋体" w:eastAsia="宋体" w:cs="宋体"/>
          <w:spacing w:val="-2"/>
          <w:kern w:val="0"/>
          <w:szCs w:val="21"/>
        </w:rPr>
        <w:t>文</w:t>
      </w:r>
      <w:r>
        <w:rPr>
          <w:rFonts w:hint="eastAsia" w:ascii="宋体" w:hAnsi="宋体" w:eastAsia="宋体" w:cs="宋体"/>
          <w:kern w:val="0"/>
          <w:szCs w:val="21"/>
        </w:rPr>
        <w:t>件</w:t>
      </w:r>
      <w:r>
        <w:rPr>
          <w:rFonts w:hint="eastAsia" w:ascii="宋体" w:hAnsi="宋体" w:eastAsia="宋体" w:cs="宋体"/>
          <w:spacing w:val="-2"/>
          <w:kern w:val="0"/>
          <w:szCs w:val="21"/>
        </w:rPr>
        <w:t>进</w:t>
      </w:r>
      <w:r>
        <w:rPr>
          <w:rFonts w:hint="eastAsia" w:ascii="宋体" w:hAnsi="宋体" w:eastAsia="宋体" w:cs="宋体"/>
          <w:kern w:val="0"/>
          <w:szCs w:val="21"/>
        </w:rPr>
        <w:t>行</w:t>
      </w:r>
      <w:r>
        <w:rPr>
          <w:rFonts w:hint="eastAsia" w:ascii="宋体" w:hAnsi="宋体" w:eastAsia="宋体" w:cs="宋体"/>
          <w:spacing w:val="-2"/>
          <w:kern w:val="0"/>
          <w:szCs w:val="21"/>
        </w:rPr>
        <w:t>资</w:t>
      </w:r>
      <w:r>
        <w:rPr>
          <w:rFonts w:hint="eastAsia" w:ascii="宋体" w:hAnsi="宋体" w:eastAsia="宋体" w:cs="宋体"/>
          <w:kern w:val="0"/>
          <w:szCs w:val="21"/>
        </w:rPr>
        <w:t>格审查，以确定投标人是否具备投标资格，有一项不符合评审标准的，资格审查人员应当认定其投标无效，合格投标人不足3家的，不得评标。</w:t>
      </w:r>
    </w:p>
    <w:p>
      <w:pPr>
        <w:pStyle w:val="4"/>
        <w:spacing w:line="360" w:lineRule="auto"/>
        <w:rPr>
          <w:rStyle w:val="52"/>
          <w:rFonts w:asciiTheme="minorEastAsia" w:hAnsiTheme="minorEastAsia" w:eastAsiaTheme="minorEastAsia" w:cstheme="minorEastAsia"/>
          <w:b w:val="0"/>
          <w:szCs w:val="22"/>
        </w:rPr>
      </w:pPr>
      <w:bookmarkStart w:id="74" w:name="_Toc3883"/>
      <w:r>
        <w:rPr>
          <w:rFonts w:hint="eastAsia" w:asciiTheme="minorEastAsia" w:hAnsiTheme="minorEastAsia" w:eastAsiaTheme="minorEastAsia" w:cstheme="minorEastAsia"/>
          <w:bCs/>
          <w:sz w:val="32"/>
          <w:szCs w:val="32"/>
        </w:rPr>
        <w:t>二、</w:t>
      </w:r>
      <w:r>
        <w:rPr>
          <w:rFonts w:hint="eastAsia" w:asciiTheme="minorEastAsia" w:hAnsiTheme="minorEastAsia" w:eastAsiaTheme="minorEastAsia" w:cstheme="minorEastAsia"/>
          <w:sz w:val="32"/>
          <w:szCs w:val="32"/>
        </w:rPr>
        <w:t>评标办法（综合评分法）</w:t>
      </w:r>
      <w:bookmarkEnd w:id="74"/>
    </w:p>
    <w:p>
      <w:pPr>
        <w:spacing w:line="360" w:lineRule="auto"/>
        <w:jc w:val="center"/>
        <w:rPr>
          <w:rFonts w:ascii="宋体" w:hAnsi="宋体" w:eastAsia="宋体" w:cs="宋体"/>
          <w:b/>
          <w:bCs/>
          <w:sz w:val="30"/>
          <w:szCs w:val="30"/>
        </w:rPr>
      </w:pPr>
      <w:bookmarkStart w:id="75" w:name="_Toc4734"/>
      <w:bookmarkStart w:id="76" w:name="_Toc4965"/>
      <w:bookmarkStart w:id="77" w:name="_Toc1534"/>
      <w:bookmarkStart w:id="78" w:name="_Toc23659"/>
      <w:bookmarkStart w:id="79" w:name="_Toc6633"/>
      <w:bookmarkStart w:id="80" w:name="_Toc14114"/>
      <w:bookmarkStart w:id="81" w:name="_Toc16535"/>
      <w:bookmarkStart w:id="82" w:name="_Toc12415"/>
      <w:bookmarkStart w:id="83" w:name="_Toc22649"/>
      <w:bookmarkStart w:id="84" w:name="_Toc22753"/>
      <w:bookmarkStart w:id="85" w:name="_Toc16950"/>
      <w:r>
        <w:rPr>
          <w:rFonts w:hint="eastAsia" w:ascii="宋体" w:hAnsi="宋体" w:eastAsia="宋体" w:cs="宋体"/>
          <w:b/>
          <w:bCs/>
          <w:sz w:val="30"/>
          <w:szCs w:val="30"/>
        </w:rPr>
        <w:t>（一）评标办法前附表</w:t>
      </w:r>
      <w:bookmarkEnd w:id="75"/>
      <w:bookmarkEnd w:id="76"/>
      <w:bookmarkEnd w:id="77"/>
      <w:bookmarkEnd w:id="78"/>
      <w:bookmarkEnd w:id="79"/>
      <w:bookmarkEnd w:id="80"/>
      <w:bookmarkEnd w:id="81"/>
      <w:bookmarkEnd w:id="82"/>
      <w:bookmarkEnd w:id="83"/>
      <w:bookmarkEnd w:id="84"/>
      <w:bookmarkEnd w:id="85"/>
    </w:p>
    <w:tbl>
      <w:tblPr>
        <w:tblStyle w:val="29"/>
        <w:tblW w:w="96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850"/>
        <w:gridCol w:w="2177"/>
        <w:gridCol w:w="54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1980" w:type="dxa"/>
            <w:gridSpan w:val="2"/>
            <w:vAlign w:val="center"/>
          </w:tcPr>
          <w:p>
            <w:pPr>
              <w:widowControl/>
              <w:spacing w:line="360" w:lineRule="auto"/>
              <w:jc w:val="center"/>
              <w:rPr>
                <w:rFonts w:ascii="宋体" w:hAnsi="宋体" w:eastAsia="宋体" w:cs="宋体"/>
                <w:szCs w:val="21"/>
              </w:rPr>
            </w:pPr>
            <w:bookmarkStart w:id="86" w:name="_Toc9836"/>
            <w:r>
              <w:rPr>
                <w:rFonts w:hint="eastAsia" w:ascii="宋体" w:hAnsi="宋体" w:eastAsia="宋体" w:cs="宋体"/>
                <w:szCs w:val="21"/>
              </w:rPr>
              <w:t>条款号</w:t>
            </w:r>
          </w:p>
        </w:tc>
        <w:tc>
          <w:tcPr>
            <w:tcW w:w="2177" w:type="dxa"/>
            <w:vAlign w:val="center"/>
          </w:tcPr>
          <w:p>
            <w:pPr>
              <w:autoSpaceDE w:val="0"/>
              <w:autoSpaceDN w:val="0"/>
              <w:adjustRightInd w:val="0"/>
              <w:spacing w:line="360" w:lineRule="auto"/>
              <w:ind w:left="38" w:leftChars="18"/>
              <w:jc w:val="center"/>
              <w:rPr>
                <w:rFonts w:ascii="宋体" w:hAnsi="宋体" w:eastAsia="宋体" w:cs="宋体"/>
                <w:kern w:val="0"/>
                <w:szCs w:val="21"/>
              </w:rPr>
            </w:pPr>
            <w:r>
              <w:rPr>
                <w:rFonts w:hint="eastAsia" w:ascii="宋体" w:hAnsi="宋体" w:eastAsia="宋体" w:cs="宋体"/>
                <w:kern w:val="0"/>
                <w:szCs w:val="21"/>
              </w:rPr>
              <w:t>评审因素</w:t>
            </w:r>
          </w:p>
        </w:tc>
        <w:tc>
          <w:tcPr>
            <w:tcW w:w="5452" w:type="dxa"/>
            <w:vAlign w:val="center"/>
          </w:tcPr>
          <w:p>
            <w:pPr>
              <w:autoSpaceDE w:val="0"/>
              <w:autoSpaceDN w:val="0"/>
              <w:adjustRightInd w:val="0"/>
              <w:spacing w:line="360" w:lineRule="auto"/>
              <w:ind w:left="38" w:leftChars="18"/>
              <w:jc w:val="center"/>
              <w:rPr>
                <w:rFonts w:ascii="宋体" w:hAnsi="宋体" w:eastAsia="宋体" w:cs="宋体"/>
                <w:szCs w:val="21"/>
              </w:rPr>
            </w:pPr>
            <w:r>
              <w:rPr>
                <w:rFonts w:hint="eastAsia" w:ascii="宋体" w:hAnsi="宋体" w:eastAsia="宋体" w:cs="宋体"/>
                <w:kern w:val="0"/>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exact"/>
          <w:jc w:val="center"/>
        </w:trPr>
        <w:tc>
          <w:tcPr>
            <w:tcW w:w="1130" w:type="dxa"/>
            <w:vMerge w:val="restart"/>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1.1初步评审表</w:t>
            </w:r>
          </w:p>
        </w:tc>
        <w:tc>
          <w:tcPr>
            <w:tcW w:w="850" w:type="dxa"/>
            <w:vMerge w:val="restart"/>
            <w:vAlign w:val="center"/>
          </w:tcPr>
          <w:p>
            <w:pPr>
              <w:widowControl/>
              <w:spacing w:line="360" w:lineRule="auto"/>
              <w:jc w:val="center"/>
              <w:rPr>
                <w:rFonts w:ascii="宋体" w:hAnsi="宋体" w:eastAsia="宋体" w:cs="宋体"/>
                <w:szCs w:val="21"/>
              </w:rPr>
            </w:pPr>
            <w:r>
              <w:rPr>
                <w:rFonts w:hint="eastAsia" w:ascii="宋体" w:hAnsi="宋体" w:eastAsia="宋体" w:cs="宋体"/>
                <w:kern w:val="0"/>
                <w:szCs w:val="21"/>
              </w:rPr>
              <w:t>形式审查</w:t>
            </w:r>
          </w:p>
        </w:tc>
        <w:tc>
          <w:tcPr>
            <w:tcW w:w="2177"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投标文件签署、盖章</w:t>
            </w:r>
          </w:p>
        </w:tc>
        <w:tc>
          <w:tcPr>
            <w:tcW w:w="5452"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投标文件参照招标文件要求签署、盖章的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1130" w:type="dxa"/>
            <w:vMerge w:val="continue"/>
            <w:vAlign w:val="center"/>
          </w:tcPr>
          <w:p>
            <w:pPr>
              <w:widowControl/>
              <w:spacing w:line="360" w:lineRule="auto"/>
              <w:jc w:val="center"/>
              <w:rPr>
                <w:rFonts w:ascii="宋体" w:hAnsi="宋体" w:eastAsia="宋体" w:cs="宋体"/>
                <w:kern w:val="0"/>
                <w:szCs w:val="21"/>
              </w:rPr>
            </w:pPr>
          </w:p>
        </w:tc>
        <w:tc>
          <w:tcPr>
            <w:tcW w:w="850" w:type="dxa"/>
            <w:vMerge w:val="continue"/>
            <w:vAlign w:val="center"/>
          </w:tcPr>
          <w:p>
            <w:pPr>
              <w:widowControl/>
              <w:spacing w:line="360" w:lineRule="auto"/>
              <w:jc w:val="center"/>
              <w:rPr>
                <w:rFonts w:ascii="宋体" w:hAnsi="宋体" w:eastAsia="宋体" w:cs="宋体"/>
                <w:kern w:val="0"/>
                <w:szCs w:val="21"/>
              </w:rPr>
            </w:pPr>
          </w:p>
        </w:tc>
        <w:tc>
          <w:tcPr>
            <w:tcW w:w="2177"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报价唯一</w:t>
            </w:r>
          </w:p>
        </w:tc>
        <w:tc>
          <w:tcPr>
            <w:tcW w:w="5452"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exact"/>
          <w:jc w:val="center"/>
        </w:trPr>
        <w:tc>
          <w:tcPr>
            <w:tcW w:w="1130" w:type="dxa"/>
            <w:vMerge w:val="continue"/>
            <w:vAlign w:val="center"/>
          </w:tcPr>
          <w:p>
            <w:pPr>
              <w:widowControl/>
              <w:spacing w:line="360" w:lineRule="auto"/>
              <w:jc w:val="center"/>
              <w:rPr>
                <w:rFonts w:ascii="宋体" w:hAnsi="宋体" w:eastAsia="宋体" w:cs="宋体"/>
                <w:kern w:val="0"/>
                <w:szCs w:val="21"/>
              </w:rPr>
            </w:pPr>
          </w:p>
        </w:tc>
        <w:tc>
          <w:tcPr>
            <w:tcW w:w="850" w:type="dxa"/>
            <w:vMerge w:val="continue"/>
            <w:vAlign w:val="center"/>
          </w:tcPr>
          <w:p>
            <w:pPr>
              <w:widowControl/>
              <w:spacing w:line="360" w:lineRule="auto"/>
              <w:jc w:val="center"/>
              <w:rPr>
                <w:rFonts w:ascii="宋体" w:hAnsi="宋体" w:eastAsia="宋体" w:cs="宋体"/>
                <w:kern w:val="0"/>
                <w:szCs w:val="21"/>
              </w:rPr>
            </w:pPr>
          </w:p>
        </w:tc>
        <w:tc>
          <w:tcPr>
            <w:tcW w:w="2177"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投标报价</w:t>
            </w:r>
          </w:p>
        </w:tc>
        <w:tc>
          <w:tcPr>
            <w:tcW w:w="5452"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报价未超过招标文件中规定的预算金额或者最高限价的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exact"/>
          <w:jc w:val="center"/>
        </w:trPr>
        <w:tc>
          <w:tcPr>
            <w:tcW w:w="1130" w:type="dxa"/>
            <w:vMerge w:val="continue"/>
            <w:vAlign w:val="center"/>
          </w:tcPr>
          <w:p>
            <w:pPr>
              <w:widowControl/>
              <w:spacing w:line="360" w:lineRule="auto"/>
              <w:jc w:val="center"/>
              <w:rPr>
                <w:rFonts w:ascii="宋体" w:hAnsi="宋体" w:eastAsia="宋体" w:cs="宋体"/>
                <w:kern w:val="0"/>
                <w:szCs w:val="21"/>
              </w:rPr>
            </w:pPr>
          </w:p>
        </w:tc>
        <w:tc>
          <w:tcPr>
            <w:tcW w:w="850" w:type="dxa"/>
            <w:vMerge w:val="restart"/>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符合性性评审</w:t>
            </w:r>
          </w:p>
        </w:tc>
        <w:tc>
          <w:tcPr>
            <w:tcW w:w="2177"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投标内容</w:t>
            </w:r>
          </w:p>
        </w:tc>
        <w:tc>
          <w:tcPr>
            <w:tcW w:w="5452"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符合招标文件的规定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exact"/>
          <w:jc w:val="center"/>
        </w:trPr>
        <w:tc>
          <w:tcPr>
            <w:tcW w:w="1130" w:type="dxa"/>
            <w:vMerge w:val="continue"/>
            <w:vAlign w:val="center"/>
          </w:tcPr>
          <w:p>
            <w:pPr>
              <w:widowControl/>
              <w:spacing w:line="360" w:lineRule="auto"/>
              <w:jc w:val="center"/>
              <w:rPr>
                <w:rFonts w:ascii="宋体" w:hAnsi="宋体" w:eastAsia="宋体" w:cs="宋体"/>
                <w:kern w:val="0"/>
                <w:szCs w:val="21"/>
              </w:rPr>
            </w:pPr>
          </w:p>
        </w:tc>
        <w:tc>
          <w:tcPr>
            <w:tcW w:w="850" w:type="dxa"/>
            <w:vMerge w:val="continue"/>
            <w:vAlign w:val="center"/>
          </w:tcPr>
          <w:p>
            <w:pPr>
              <w:widowControl/>
              <w:spacing w:line="360" w:lineRule="auto"/>
              <w:jc w:val="center"/>
              <w:rPr>
                <w:rFonts w:ascii="宋体" w:hAnsi="宋体" w:eastAsia="宋体" w:cs="宋体"/>
                <w:kern w:val="0"/>
                <w:szCs w:val="21"/>
              </w:rPr>
            </w:pPr>
          </w:p>
        </w:tc>
        <w:tc>
          <w:tcPr>
            <w:tcW w:w="2177"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交货期</w:t>
            </w:r>
          </w:p>
        </w:tc>
        <w:tc>
          <w:tcPr>
            <w:tcW w:w="5452"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符合“投标人须知前附表1.3.1”规定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exact"/>
          <w:jc w:val="center"/>
        </w:trPr>
        <w:tc>
          <w:tcPr>
            <w:tcW w:w="1130" w:type="dxa"/>
            <w:vMerge w:val="continue"/>
            <w:vAlign w:val="center"/>
          </w:tcPr>
          <w:p>
            <w:pPr>
              <w:widowControl/>
              <w:spacing w:line="360" w:lineRule="auto"/>
              <w:jc w:val="center"/>
              <w:rPr>
                <w:rFonts w:ascii="宋体" w:hAnsi="宋体" w:eastAsia="宋体" w:cs="宋体"/>
                <w:kern w:val="0"/>
                <w:szCs w:val="21"/>
              </w:rPr>
            </w:pPr>
          </w:p>
        </w:tc>
        <w:tc>
          <w:tcPr>
            <w:tcW w:w="850" w:type="dxa"/>
            <w:vMerge w:val="continue"/>
            <w:vAlign w:val="center"/>
          </w:tcPr>
          <w:p>
            <w:pPr>
              <w:widowControl/>
              <w:spacing w:line="360" w:lineRule="auto"/>
              <w:jc w:val="center"/>
              <w:rPr>
                <w:rFonts w:ascii="宋体" w:hAnsi="宋体" w:eastAsia="宋体" w:cs="宋体"/>
                <w:kern w:val="0"/>
                <w:szCs w:val="21"/>
              </w:rPr>
            </w:pPr>
          </w:p>
        </w:tc>
        <w:tc>
          <w:tcPr>
            <w:tcW w:w="2177"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交货地点</w:t>
            </w:r>
          </w:p>
        </w:tc>
        <w:tc>
          <w:tcPr>
            <w:tcW w:w="5452"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符合“投标人须知前附表1.3.2”规定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jc w:val="center"/>
        </w:trPr>
        <w:tc>
          <w:tcPr>
            <w:tcW w:w="1130" w:type="dxa"/>
            <w:vMerge w:val="continue"/>
            <w:vAlign w:val="center"/>
          </w:tcPr>
          <w:p>
            <w:pPr>
              <w:widowControl/>
              <w:spacing w:line="360" w:lineRule="auto"/>
              <w:jc w:val="center"/>
              <w:rPr>
                <w:rFonts w:ascii="宋体" w:hAnsi="宋体" w:eastAsia="宋体" w:cs="宋体"/>
                <w:kern w:val="0"/>
                <w:szCs w:val="21"/>
              </w:rPr>
            </w:pPr>
          </w:p>
        </w:tc>
        <w:tc>
          <w:tcPr>
            <w:tcW w:w="850" w:type="dxa"/>
            <w:vMerge w:val="continue"/>
            <w:vAlign w:val="center"/>
          </w:tcPr>
          <w:p>
            <w:pPr>
              <w:widowControl/>
              <w:spacing w:line="360" w:lineRule="auto"/>
              <w:jc w:val="center"/>
              <w:rPr>
                <w:rFonts w:ascii="宋体" w:hAnsi="宋体" w:eastAsia="宋体" w:cs="宋体"/>
                <w:kern w:val="0"/>
                <w:szCs w:val="21"/>
              </w:rPr>
            </w:pPr>
          </w:p>
        </w:tc>
        <w:tc>
          <w:tcPr>
            <w:tcW w:w="2177"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质保期</w:t>
            </w:r>
          </w:p>
        </w:tc>
        <w:tc>
          <w:tcPr>
            <w:tcW w:w="5452"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符合“投标人须知前附表1.3.3”规定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130" w:type="dxa"/>
            <w:vMerge w:val="continue"/>
            <w:vAlign w:val="center"/>
          </w:tcPr>
          <w:p>
            <w:pPr>
              <w:widowControl/>
              <w:spacing w:line="360" w:lineRule="auto"/>
              <w:jc w:val="center"/>
              <w:rPr>
                <w:rFonts w:ascii="宋体" w:hAnsi="宋体" w:eastAsia="宋体" w:cs="宋体"/>
                <w:kern w:val="0"/>
                <w:szCs w:val="21"/>
              </w:rPr>
            </w:pPr>
          </w:p>
        </w:tc>
        <w:tc>
          <w:tcPr>
            <w:tcW w:w="850" w:type="dxa"/>
            <w:vMerge w:val="continue"/>
            <w:vAlign w:val="center"/>
          </w:tcPr>
          <w:p>
            <w:pPr>
              <w:widowControl/>
              <w:spacing w:line="360" w:lineRule="auto"/>
              <w:jc w:val="center"/>
              <w:rPr>
                <w:rFonts w:ascii="宋体" w:hAnsi="宋体" w:eastAsia="宋体" w:cs="宋体"/>
                <w:kern w:val="0"/>
                <w:szCs w:val="21"/>
              </w:rPr>
            </w:pPr>
          </w:p>
        </w:tc>
        <w:tc>
          <w:tcPr>
            <w:tcW w:w="2177"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质量标准</w:t>
            </w:r>
          </w:p>
        </w:tc>
        <w:tc>
          <w:tcPr>
            <w:tcW w:w="5452"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符合“投标人须知前附表1.3.4”规定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130" w:type="dxa"/>
            <w:vMerge w:val="continue"/>
            <w:vAlign w:val="center"/>
          </w:tcPr>
          <w:p>
            <w:pPr>
              <w:widowControl/>
              <w:spacing w:line="360" w:lineRule="auto"/>
              <w:jc w:val="center"/>
              <w:rPr>
                <w:rFonts w:ascii="宋体" w:hAnsi="宋体" w:eastAsia="宋体" w:cs="宋体"/>
                <w:kern w:val="0"/>
                <w:szCs w:val="21"/>
              </w:rPr>
            </w:pPr>
          </w:p>
        </w:tc>
        <w:tc>
          <w:tcPr>
            <w:tcW w:w="850" w:type="dxa"/>
            <w:vMerge w:val="continue"/>
            <w:vAlign w:val="center"/>
          </w:tcPr>
          <w:p>
            <w:pPr>
              <w:widowControl/>
              <w:spacing w:line="360" w:lineRule="auto"/>
              <w:jc w:val="center"/>
              <w:rPr>
                <w:rFonts w:ascii="宋体" w:hAnsi="宋体" w:eastAsia="宋体" w:cs="宋体"/>
                <w:kern w:val="0"/>
                <w:szCs w:val="21"/>
              </w:rPr>
            </w:pPr>
          </w:p>
        </w:tc>
        <w:tc>
          <w:tcPr>
            <w:tcW w:w="2177"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投标有效期</w:t>
            </w:r>
          </w:p>
        </w:tc>
        <w:tc>
          <w:tcPr>
            <w:tcW w:w="5452"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符合“投标人须知前附表16.1”规定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130" w:type="dxa"/>
            <w:vMerge w:val="continue"/>
            <w:vAlign w:val="center"/>
          </w:tcPr>
          <w:p>
            <w:pPr>
              <w:widowControl/>
              <w:spacing w:line="360" w:lineRule="auto"/>
              <w:jc w:val="center"/>
              <w:rPr>
                <w:rFonts w:ascii="宋体" w:hAnsi="宋体" w:eastAsia="宋体" w:cs="宋体"/>
                <w:kern w:val="0"/>
                <w:szCs w:val="21"/>
              </w:rPr>
            </w:pPr>
          </w:p>
        </w:tc>
        <w:tc>
          <w:tcPr>
            <w:tcW w:w="850" w:type="dxa"/>
            <w:vMerge w:val="continue"/>
            <w:vAlign w:val="center"/>
          </w:tcPr>
          <w:p>
            <w:pPr>
              <w:widowControl/>
              <w:spacing w:line="360" w:lineRule="auto"/>
              <w:jc w:val="center"/>
              <w:rPr>
                <w:rFonts w:ascii="宋体" w:hAnsi="宋体" w:eastAsia="宋体" w:cs="宋体"/>
                <w:kern w:val="0"/>
                <w:szCs w:val="21"/>
              </w:rPr>
            </w:pPr>
          </w:p>
        </w:tc>
        <w:tc>
          <w:tcPr>
            <w:tcW w:w="2177"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采购人不能接受的其他条件</w:t>
            </w:r>
          </w:p>
        </w:tc>
        <w:tc>
          <w:tcPr>
            <w:tcW w:w="5452" w:type="dxa"/>
            <w:vAlign w:val="center"/>
          </w:tcPr>
          <w:p>
            <w:pPr>
              <w:widowControl/>
              <w:spacing w:line="360" w:lineRule="auto"/>
              <w:jc w:val="center"/>
              <w:rPr>
                <w:rFonts w:ascii="宋体" w:hAnsi="宋体" w:eastAsia="宋体" w:cs="宋体"/>
                <w:kern w:val="0"/>
                <w:szCs w:val="21"/>
              </w:rPr>
            </w:pPr>
            <w:r>
              <w:rPr>
                <w:rFonts w:hint="eastAsia" w:ascii="宋体" w:hAnsi="宋体" w:eastAsia="宋体" w:cs="宋体"/>
                <w:kern w:val="0"/>
                <w:szCs w:val="21"/>
              </w:rPr>
              <w:t>未附有采购人不能接受的其他条件</w:t>
            </w:r>
          </w:p>
        </w:tc>
      </w:tr>
    </w:tbl>
    <w:p>
      <w:pPr>
        <w:spacing w:line="360" w:lineRule="auto"/>
        <w:jc w:val="center"/>
        <w:rPr>
          <w:rFonts w:ascii="宋体" w:hAnsi="宋体" w:eastAsia="宋体" w:cs="宋体"/>
          <w:b/>
          <w:bCs/>
        </w:rPr>
      </w:pPr>
      <w:bookmarkStart w:id="87" w:name="_Toc26522"/>
      <w:bookmarkStart w:id="88" w:name="_Toc31078"/>
      <w:bookmarkStart w:id="89" w:name="_Toc20167"/>
      <w:bookmarkStart w:id="90" w:name="_Toc12476"/>
      <w:bookmarkStart w:id="91" w:name="_Toc31999"/>
      <w:bookmarkStart w:id="92" w:name="_Toc25637"/>
      <w:bookmarkStart w:id="93" w:name="_Toc13371"/>
      <w:bookmarkStart w:id="94" w:name="_Toc3242"/>
      <w:r>
        <w:rPr>
          <w:rFonts w:hint="eastAsia" w:ascii="宋体" w:hAnsi="宋体" w:eastAsia="宋体" w:cs="宋体"/>
          <w:b/>
          <w:bCs/>
        </w:rPr>
        <w:t>评标办法</w:t>
      </w:r>
      <w:bookmarkEnd w:id="86"/>
      <w:bookmarkEnd w:id="87"/>
      <w:bookmarkEnd w:id="88"/>
      <w:bookmarkEnd w:id="89"/>
      <w:bookmarkEnd w:id="90"/>
      <w:bookmarkEnd w:id="91"/>
      <w:bookmarkEnd w:id="92"/>
      <w:bookmarkEnd w:id="93"/>
      <w:bookmarkEnd w:id="94"/>
    </w:p>
    <w:p>
      <w:pPr>
        <w:autoSpaceDE w:val="0"/>
        <w:autoSpaceDN w:val="0"/>
        <w:adjustRightInd w:val="0"/>
        <w:spacing w:line="360" w:lineRule="auto"/>
        <w:ind w:right="-23" w:firstLine="420" w:firstLineChars="200"/>
        <w:jc w:val="left"/>
        <w:rPr>
          <w:rFonts w:ascii="宋体" w:hAnsi="宋体" w:eastAsia="宋体" w:cs="宋体"/>
          <w:kern w:val="0"/>
          <w:szCs w:val="21"/>
        </w:rPr>
      </w:pPr>
      <w:r>
        <w:rPr>
          <w:rFonts w:hint="eastAsia" w:ascii="宋体" w:hAnsi="宋体" w:eastAsia="宋体" w:cs="宋体"/>
          <w:kern w:val="0"/>
          <w:szCs w:val="21"/>
        </w:rPr>
        <w:t>本次招标采用综合评分法评标，投标文件满足招标文件全部实质性要求，且按照评审因素的量化指标评审得分最高的投标人为中标候选人的评标方法</w:t>
      </w:r>
    </w:p>
    <w:p>
      <w:pPr>
        <w:autoSpaceDE w:val="0"/>
        <w:autoSpaceDN w:val="0"/>
        <w:adjustRightInd w:val="0"/>
        <w:spacing w:line="360" w:lineRule="auto"/>
        <w:ind w:right="-23" w:firstLine="420" w:firstLineChars="200"/>
        <w:jc w:val="left"/>
        <w:rPr>
          <w:rFonts w:ascii="宋体" w:hAnsi="宋体" w:eastAsia="宋体" w:cs="宋体"/>
          <w:kern w:val="0"/>
          <w:szCs w:val="21"/>
        </w:rPr>
      </w:pPr>
      <w:r>
        <w:rPr>
          <w:rFonts w:hint="eastAsia" w:ascii="宋体" w:hAnsi="宋体" w:eastAsia="宋体" w:cs="宋体"/>
          <w:kern w:val="0"/>
          <w:szCs w:val="21"/>
        </w:rPr>
        <w:t>（一）评标原则</w:t>
      </w:r>
    </w:p>
    <w:p>
      <w:pPr>
        <w:autoSpaceDE w:val="0"/>
        <w:autoSpaceDN w:val="0"/>
        <w:adjustRightInd w:val="0"/>
        <w:spacing w:line="360" w:lineRule="auto"/>
        <w:ind w:right="-23" w:firstLine="420" w:firstLineChars="200"/>
        <w:jc w:val="left"/>
        <w:rPr>
          <w:rFonts w:ascii="宋体" w:hAnsi="宋体" w:eastAsia="宋体" w:cs="宋体"/>
          <w:kern w:val="0"/>
          <w:szCs w:val="21"/>
        </w:rPr>
      </w:pPr>
      <w:r>
        <w:rPr>
          <w:rFonts w:hint="eastAsia" w:ascii="宋体" w:hAnsi="宋体" w:eastAsia="宋体" w:cs="宋体"/>
          <w:kern w:val="0"/>
        </w:rPr>
        <w:t>评审专家应当严格遵守评审工作纪律,按照客观、公正、审慎的原则,根据采购文件规定的评审程序、评审方法和评审标准进行独立评审。评审专家发现采购文件内容违反国家有关强制性规定或者采购文件存在歧义、重大缺陷导致评审工作无法进行时,应当停止评审并向采购人或者采购代理机构书面说明情况</w:t>
      </w:r>
      <w:r>
        <w:rPr>
          <w:rFonts w:hint="eastAsia" w:ascii="宋体" w:hAnsi="宋体" w:eastAsia="宋体" w:cs="宋体"/>
          <w:kern w:val="0"/>
          <w:szCs w:val="21"/>
        </w:rPr>
        <w:t>。</w:t>
      </w:r>
    </w:p>
    <w:p>
      <w:pPr>
        <w:autoSpaceDE w:val="0"/>
        <w:autoSpaceDN w:val="0"/>
        <w:adjustRightInd w:val="0"/>
        <w:spacing w:line="360" w:lineRule="auto"/>
        <w:ind w:right="-23" w:firstLine="420" w:firstLineChars="200"/>
        <w:jc w:val="left"/>
        <w:rPr>
          <w:rFonts w:ascii="宋体" w:hAnsi="宋体" w:eastAsia="宋体" w:cs="宋体"/>
          <w:kern w:val="0"/>
          <w:szCs w:val="21"/>
        </w:rPr>
      </w:pPr>
      <w:r>
        <w:rPr>
          <w:rFonts w:hint="eastAsia" w:ascii="宋体" w:hAnsi="宋体" w:eastAsia="宋体" w:cs="宋体"/>
          <w:kern w:val="0"/>
          <w:szCs w:val="21"/>
        </w:rPr>
        <w:t>（二）评标程序</w:t>
      </w:r>
    </w:p>
    <w:p>
      <w:pPr>
        <w:autoSpaceDE w:val="0"/>
        <w:autoSpaceDN w:val="0"/>
        <w:adjustRightInd w:val="0"/>
        <w:spacing w:line="360" w:lineRule="auto"/>
        <w:ind w:right="-23" w:firstLine="420" w:firstLineChars="200"/>
        <w:jc w:val="left"/>
        <w:rPr>
          <w:rFonts w:ascii="宋体" w:hAnsi="宋体" w:eastAsia="宋体" w:cs="宋体"/>
          <w:kern w:val="0"/>
          <w:szCs w:val="21"/>
        </w:rPr>
      </w:pPr>
      <w:r>
        <w:rPr>
          <w:rFonts w:hint="eastAsia" w:ascii="宋体" w:hAnsi="宋体" w:eastAsia="宋体" w:cs="宋体"/>
          <w:kern w:val="0"/>
          <w:szCs w:val="21"/>
        </w:rPr>
        <w:t>★1、初步审查</w:t>
      </w:r>
    </w:p>
    <w:p>
      <w:pPr>
        <w:autoSpaceDE w:val="0"/>
        <w:autoSpaceDN w:val="0"/>
        <w:adjustRightInd w:val="0"/>
        <w:spacing w:line="360" w:lineRule="auto"/>
        <w:ind w:right="-23" w:firstLine="420" w:firstLineChars="200"/>
        <w:jc w:val="left"/>
        <w:rPr>
          <w:rFonts w:ascii="宋体" w:hAnsi="宋体" w:eastAsia="宋体" w:cs="宋体"/>
          <w:kern w:val="0"/>
          <w:szCs w:val="21"/>
        </w:rPr>
      </w:pPr>
      <w:r>
        <w:rPr>
          <w:rFonts w:hint="eastAsia" w:ascii="宋体" w:hAnsi="宋体" w:eastAsia="宋体" w:cs="宋体"/>
          <w:kern w:val="0"/>
          <w:szCs w:val="21"/>
        </w:rPr>
        <w:t>1.1详见投标人须知。初步评审审查表详见本章（一）评标办法前附表。</w:t>
      </w:r>
    </w:p>
    <w:p>
      <w:pPr>
        <w:autoSpaceDE w:val="0"/>
        <w:autoSpaceDN w:val="0"/>
        <w:adjustRightInd w:val="0"/>
        <w:spacing w:line="360" w:lineRule="auto"/>
        <w:ind w:right="-23" w:firstLine="420" w:firstLineChars="200"/>
        <w:jc w:val="left"/>
        <w:rPr>
          <w:rFonts w:ascii="宋体" w:hAnsi="宋体" w:eastAsia="宋体" w:cs="宋体"/>
          <w:kern w:val="0"/>
          <w:szCs w:val="21"/>
        </w:rPr>
      </w:pPr>
      <w:r>
        <w:rPr>
          <w:rFonts w:hint="eastAsia" w:ascii="宋体" w:hAnsi="宋体" w:eastAsia="宋体" w:cs="宋体"/>
          <w:kern w:val="0"/>
          <w:szCs w:val="21"/>
        </w:rPr>
        <w:t>★</w:t>
      </w:r>
      <w:r>
        <w:rPr>
          <w:rFonts w:ascii="宋体" w:hAnsi="宋体" w:eastAsia="宋体" w:cs="宋体"/>
          <w:kern w:val="0"/>
          <w:szCs w:val="21"/>
        </w:rPr>
        <w:t>2</w:t>
      </w:r>
      <w:r>
        <w:rPr>
          <w:rFonts w:hint="eastAsia" w:ascii="宋体" w:hAnsi="宋体" w:eastAsia="宋体" w:cs="宋体"/>
          <w:kern w:val="0"/>
          <w:szCs w:val="21"/>
        </w:rPr>
        <w:t>、同一品牌产品</w:t>
      </w:r>
    </w:p>
    <w:p>
      <w:pPr>
        <w:autoSpaceDE w:val="0"/>
        <w:autoSpaceDN w:val="0"/>
        <w:adjustRightInd w:val="0"/>
        <w:spacing w:line="360" w:lineRule="auto"/>
        <w:ind w:right="-23" w:firstLine="420" w:firstLineChars="200"/>
        <w:jc w:val="left"/>
        <w:rPr>
          <w:rFonts w:ascii="宋体" w:hAnsi="宋体" w:eastAsia="宋体" w:cs="宋体"/>
          <w:kern w:val="0"/>
          <w:szCs w:val="21"/>
        </w:rPr>
      </w:pPr>
      <w:r>
        <w:rPr>
          <w:rFonts w:ascii="宋体" w:hAnsi="宋体" w:eastAsia="宋体" w:cs="宋体"/>
          <w:kern w:val="0"/>
          <w:szCs w:val="21"/>
        </w:rPr>
        <w:t>2</w:t>
      </w:r>
      <w:r>
        <w:rPr>
          <w:rFonts w:hint="eastAsia" w:ascii="宋体" w:hAnsi="宋体" w:eastAsia="宋体" w:cs="宋体"/>
          <w:kern w:val="0"/>
          <w:szCs w:val="21"/>
        </w:rPr>
        <w:t>.1核心产品为同一品牌且通过资格审查、符合性审查的不同投标人，按一家投标人计算。</w:t>
      </w:r>
    </w:p>
    <w:p>
      <w:pPr>
        <w:autoSpaceDE w:val="0"/>
        <w:autoSpaceDN w:val="0"/>
        <w:adjustRightInd w:val="0"/>
        <w:spacing w:line="360" w:lineRule="auto"/>
        <w:ind w:right="-23" w:firstLine="420" w:firstLineChars="200"/>
        <w:jc w:val="left"/>
        <w:rPr>
          <w:rFonts w:ascii="宋体" w:hAnsi="宋体" w:eastAsia="宋体" w:cs="宋体"/>
          <w:kern w:val="0"/>
          <w:szCs w:val="21"/>
        </w:rPr>
      </w:pPr>
      <w:r>
        <w:rPr>
          <w:rFonts w:hint="eastAsia" w:ascii="宋体" w:hAnsi="宋体" w:eastAsia="宋体" w:cs="宋体"/>
          <w:kern w:val="0"/>
          <w:szCs w:val="21"/>
        </w:rPr>
        <w:t>★</w:t>
      </w:r>
      <w:r>
        <w:rPr>
          <w:rFonts w:ascii="宋体" w:hAnsi="宋体" w:eastAsia="宋体" w:cs="宋体"/>
          <w:kern w:val="0"/>
          <w:szCs w:val="21"/>
        </w:rPr>
        <w:t>3</w:t>
      </w:r>
      <w:r>
        <w:rPr>
          <w:rFonts w:hint="eastAsia" w:ascii="宋体" w:hAnsi="宋体" w:eastAsia="宋体" w:cs="宋体"/>
          <w:kern w:val="0"/>
          <w:szCs w:val="21"/>
        </w:rPr>
        <w:t>、比较及评价</w:t>
      </w:r>
    </w:p>
    <w:p>
      <w:pPr>
        <w:autoSpaceDE w:val="0"/>
        <w:autoSpaceDN w:val="0"/>
        <w:adjustRightInd w:val="0"/>
        <w:spacing w:line="360" w:lineRule="auto"/>
        <w:ind w:right="-23" w:firstLine="420" w:firstLineChars="200"/>
        <w:jc w:val="left"/>
        <w:rPr>
          <w:rFonts w:ascii="宋体" w:hAnsi="宋体" w:eastAsia="宋体" w:cs="宋体"/>
          <w:kern w:val="0"/>
          <w:szCs w:val="21"/>
        </w:rPr>
      </w:pPr>
      <w:r>
        <w:rPr>
          <w:rFonts w:ascii="宋体" w:hAnsi="宋体" w:eastAsia="宋体" w:cs="宋体"/>
          <w:kern w:val="0"/>
          <w:szCs w:val="21"/>
        </w:rPr>
        <w:t>3</w:t>
      </w:r>
      <w:r>
        <w:rPr>
          <w:rFonts w:hint="eastAsia" w:ascii="宋体" w:hAnsi="宋体" w:eastAsia="宋体" w:cs="宋体"/>
          <w:kern w:val="0"/>
          <w:szCs w:val="21"/>
        </w:rPr>
        <w:t>.1评标委员会对通过符合性审查的投标文件进行比较和评价。</w:t>
      </w:r>
    </w:p>
    <w:p>
      <w:pPr>
        <w:autoSpaceDE w:val="0"/>
        <w:autoSpaceDN w:val="0"/>
        <w:adjustRightInd w:val="0"/>
        <w:spacing w:line="360" w:lineRule="auto"/>
        <w:ind w:right="-23" w:firstLine="420" w:firstLineChars="200"/>
        <w:jc w:val="left"/>
        <w:rPr>
          <w:rFonts w:ascii="宋体" w:hAnsi="宋体" w:eastAsia="宋体" w:cs="宋体"/>
          <w:kern w:val="0"/>
          <w:szCs w:val="21"/>
        </w:rPr>
      </w:pPr>
      <w:r>
        <w:rPr>
          <w:rFonts w:ascii="宋体" w:hAnsi="宋体" w:eastAsia="宋体" w:cs="宋体"/>
          <w:kern w:val="0"/>
          <w:szCs w:val="21"/>
        </w:rPr>
        <w:t>3</w:t>
      </w:r>
      <w:r>
        <w:rPr>
          <w:rFonts w:hint="eastAsia" w:ascii="宋体" w:hAnsi="宋体" w:eastAsia="宋体" w:cs="宋体"/>
          <w:kern w:val="0"/>
          <w:szCs w:val="21"/>
        </w:rPr>
        <w:t>.2评标委员会认为投标人的报价明显低于其他通过符合性审查的投标人报价，有可能影响产品质量或者不能诚信履约的，评标委员会应当要求其在规定时间内（具体时间标准由评标委员会根据项目实际情况在评标现场商定）提供书面说明，并提交相关证明材料，投标人不能证明其报价合理性的，评标委员会应当将其投标作为无效投标处理。</w:t>
      </w:r>
    </w:p>
    <w:p>
      <w:pPr>
        <w:autoSpaceDE w:val="0"/>
        <w:autoSpaceDN w:val="0"/>
        <w:adjustRightInd w:val="0"/>
        <w:spacing w:line="360" w:lineRule="auto"/>
        <w:ind w:right="-23" w:firstLine="420" w:firstLineChars="200"/>
        <w:jc w:val="left"/>
        <w:rPr>
          <w:rFonts w:ascii="宋体" w:hAnsi="宋体" w:eastAsia="宋体" w:cs="宋体"/>
          <w:kern w:val="0"/>
          <w:szCs w:val="21"/>
        </w:rPr>
      </w:pPr>
      <w:r>
        <w:rPr>
          <w:rFonts w:hint="eastAsia" w:ascii="宋体" w:hAnsi="宋体" w:eastAsia="宋体" w:cs="宋体"/>
          <w:kern w:val="0"/>
          <w:szCs w:val="21"/>
        </w:rPr>
        <w:t>投标人的书面说明材料包含货物本身成本、人工费用、运输、税收等，以及报价不会影响产品质量或诚信履约能力的说明等。</w:t>
      </w:r>
    </w:p>
    <w:p>
      <w:pPr>
        <w:autoSpaceDE w:val="0"/>
        <w:autoSpaceDN w:val="0"/>
        <w:adjustRightInd w:val="0"/>
        <w:spacing w:line="360" w:lineRule="auto"/>
        <w:ind w:right="-23" w:firstLine="420" w:firstLineChars="200"/>
        <w:jc w:val="left"/>
        <w:rPr>
          <w:rFonts w:ascii="宋体" w:hAnsi="宋体" w:eastAsia="宋体" w:cs="宋体"/>
          <w:kern w:val="0"/>
          <w:szCs w:val="21"/>
        </w:rPr>
      </w:pPr>
      <w:r>
        <w:rPr>
          <w:rFonts w:hint="eastAsia" w:ascii="宋体" w:hAnsi="宋体" w:eastAsia="宋体" w:cs="宋体"/>
          <w:kern w:val="0"/>
          <w:szCs w:val="21"/>
        </w:rPr>
        <w:t>投标人的书面说明应当签字确认并加盖公章，否则无效。书面说明的签字确认，由其法定代表人（非法人单位负责人或自然人本人）或者其授权代表签字确认。</w:t>
      </w:r>
    </w:p>
    <w:p>
      <w:pPr>
        <w:autoSpaceDE w:val="0"/>
        <w:autoSpaceDN w:val="0"/>
        <w:adjustRightInd w:val="0"/>
        <w:spacing w:line="360" w:lineRule="auto"/>
        <w:ind w:right="-23" w:firstLine="420" w:firstLineChars="200"/>
        <w:jc w:val="left"/>
        <w:rPr>
          <w:rFonts w:ascii="宋体" w:hAnsi="宋体" w:eastAsia="宋体" w:cs="宋体"/>
          <w:kern w:val="0"/>
          <w:szCs w:val="21"/>
        </w:rPr>
      </w:pPr>
      <w:r>
        <w:rPr>
          <w:rFonts w:hint="eastAsia" w:ascii="宋体" w:hAnsi="宋体" w:eastAsia="宋体" w:cs="宋体"/>
          <w:kern w:val="0"/>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pPr>
        <w:autoSpaceDE w:val="0"/>
        <w:autoSpaceDN w:val="0"/>
        <w:adjustRightInd w:val="0"/>
        <w:spacing w:line="360" w:lineRule="auto"/>
        <w:ind w:right="-23" w:firstLine="420" w:firstLineChars="200"/>
        <w:jc w:val="left"/>
        <w:rPr>
          <w:rFonts w:ascii="宋体" w:hAnsi="宋体" w:eastAsia="宋体" w:cs="宋体"/>
          <w:kern w:val="0"/>
          <w:szCs w:val="21"/>
        </w:rPr>
      </w:pPr>
      <w:r>
        <w:rPr>
          <w:rFonts w:hint="eastAsia" w:ascii="宋体" w:hAnsi="宋体" w:eastAsia="宋体" w:cs="宋体"/>
          <w:kern w:val="0"/>
          <w:szCs w:val="21"/>
        </w:rPr>
        <w:t>（1）拒绝或者变相拒绝提供有效书面说明；</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（2）书面说明不能证明其报价合理性的；</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（3）未在规定时间内递交有效书面说明书的。</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w:t>
      </w:r>
      <w:r>
        <w:rPr>
          <w:rFonts w:ascii="宋体" w:hAnsi="宋体" w:eastAsia="宋体" w:cs="宋体"/>
          <w:kern w:val="0"/>
          <w:szCs w:val="21"/>
        </w:rPr>
        <w:t>4</w:t>
      </w:r>
      <w:r>
        <w:rPr>
          <w:rFonts w:hint="eastAsia" w:ascii="宋体" w:hAnsi="宋体" w:eastAsia="宋体" w:cs="宋体"/>
          <w:kern w:val="0"/>
          <w:szCs w:val="21"/>
        </w:rPr>
        <w:t>、需落实的政府采购政策性规定：</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ascii="宋体" w:hAnsi="宋体" w:eastAsia="宋体" w:cs="宋体"/>
          <w:kern w:val="0"/>
          <w:szCs w:val="21"/>
        </w:rPr>
        <w:t>4</w:t>
      </w:r>
      <w:r>
        <w:rPr>
          <w:rFonts w:hint="eastAsia" w:ascii="宋体" w:hAnsi="宋体" w:eastAsia="宋体" w:cs="宋体"/>
          <w:kern w:val="0"/>
          <w:szCs w:val="21"/>
        </w:rPr>
        <w:t>.1依据中小企业划型标准规定（工信部联企业[2011]300号），为贯彻落实《政府采购促进中小企业发展管理办法》（财库[2020]46号）</w:t>
      </w:r>
      <w:r>
        <w:rPr>
          <w:rFonts w:hint="eastAsia" w:ascii="宋体" w:hAnsi="宋体" w:eastAsia="宋体" w:cs="宋体"/>
          <w:szCs w:val="21"/>
        </w:rPr>
        <w:t>和关于进一步加大政府采购支持中小企业力度的通知（财库〔2022〕19号）</w:t>
      </w:r>
      <w:r>
        <w:rPr>
          <w:rFonts w:hint="eastAsia" w:ascii="宋体" w:hAnsi="宋体" w:eastAsia="宋体" w:cs="宋体"/>
          <w:kern w:val="0"/>
          <w:szCs w:val="21"/>
        </w:rPr>
        <w:t>、《国家统计局关于印发〈统计上大中小微型企业划分办法（2017）〉的通知》国统字〔2017〕213号文件及《工业和信息化部、国家统计局、国家发展和改革委员会、财政部关于印发〈中小企业划型标准规定〉的通知》。</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ascii="宋体" w:hAnsi="宋体" w:eastAsia="宋体" w:cs="宋体"/>
          <w:kern w:val="0"/>
          <w:szCs w:val="21"/>
        </w:rPr>
        <w:t>4</w:t>
      </w:r>
      <w:r>
        <w:rPr>
          <w:rFonts w:hint="eastAsia" w:ascii="宋体" w:hAnsi="宋体" w:eastAsia="宋体" w:cs="宋体"/>
          <w:kern w:val="0"/>
          <w:szCs w:val="21"/>
        </w:rPr>
        <w:t>.2对于非专门面向中小企业的项目，在满足价格扣除条件且在投标文件中按要求提交了《中小企业声明函》，或省级以上监狱管理局、戒毒管理局（含新疆生产建设兵团）出具的属于监狱企业的证明文件的投标人，对投标报价给予价格扣除，用扣除后的价格参与评审。投标报价扣除比例如下：对于小微企业在评审时价格给予10%的扣除。</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说明：</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（1）投标货物由中小企业制造，即货物由中小企业生产且使用该中小企业商号或者注册商标的视为中小企业。大型企业提供小微企业制造的货物视同为小微企业。</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（2）在工程采购项目中，工程由中小企业承建，即工程施工单位为中小企业，即为中小企业。</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（3）在服务采购项目中，服务由中小企业承接，即提供服务的人员为中小企业依照《中华人民共和国劳动合同法》订立劳动合同的从业人员，视为中小企业。</w:t>
      </w:r>
    </w:p>
    <w:p>
      <w:pPr>
        <w:autoSpaceDE w:val="0"/>
        <w:autoSpaceDN w:val="0"/>
        <w:adjustRightInd w:val="0"/>
        <w:spacing w:line="500" w:lineRule="atLeast"/>
        <w:ind w:right="-23" w:firstLine="210" w:firstLineChars="100"/>
        <w:jc w:val="left"/>
        <w:rPr>
          <w:rFonts w:ascii="宋体" w:hAnsi="宋体" w:eastAsia="宋体" w:cs="宋体"/>
          <w:kern w:val="0"/>
          <w:szCs w:val="21"/>
        </w:rPr>
      </w:pPr>
      <w:r>
        <w:rPr>
          <w:rFonts w:ascii="宋体" w:hAnsi="宋体" w:eastAsia="宋体" w:cs="宋体"/>
          <w:kern w:val="0"/>
          <w:szCs w:val="21"/>
        </w:rPr>
        <w:t>4</w:t>
      </w:r>
      <w:r>
        <w:rPr>
          <w:rFonts w:hint="eastAsia" w:ascii="宋体" w:hAnsi="宋体" w:eastAsia="宋体" w:cs="宋体"/>
          <w:kern w:val="0"/>
          <w:szCs w:val="21"/>
        </w:rPr>
        <w:t>.3对于促进残疾人就业政府采购政策的相关规定</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（1）残疾人福利性单位视同小型、微型企业，对残疾人福利性单位的产品价格给予10%的价格扣除，用扣除后的价格参与评审。</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2）投标文件中必须提供《残疾人福利性单位声明函》（详见投标文件内容及格式），否则不予享受该政策性优惠，并对声明的真实性负责，如《残疾人福利性单位声明函》与事实不符的，将依照《政府采购法》第七十七条第一款的规定追究法律责任。</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（3）残疾人福利性单位属于小型、微型企业的，不重复享受政策。</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4.4对于节能产品、环境标志产品的相关规定</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1）非政府强制采购的节能产品或环境标志产品，依据品目清单和认证证书实施政府优先采购。投标人应能够提供国家确定的认证机构出具的、处于有效期之内的节能产品、环境标志产品认证证书，方可对获得证书的产品优先推荐。采用最低评标价法的，对清单中投标产品的报价给予价格扣除，用扣除后的价格参与评审。报价扣除比例为清单中产品报价的</w:t>
      </w:r>
      <w:r>
        <w:rPr>
          <w:rFonts w:ascii="宋体" w:hAnsi="宋体" w:eastAsia="宋体" w:cs="宋体"/>
          <w:kern w:val="0"/>
          <w:szCs w:val="21"/>
          <w:u w:val="single"/>
        </w:rPr>
        <w:t>1</w:t>
      </w:r>
      <w:r>
        <w:rPr>
          <w:rFonts w:hint="eastAsia" w:ascii="宋体" w:hAnsi="宋体" w:eastAsia="宋体" w:cs="宋体"/>
          <w:kern w:val="0"/>
          <w:szCs w:val="21"/>
        </w:rPr>
        <w:t>%；采用综合评分法评标的项目，在满足基本技术条件的前提下，对清单中产品给予相应的加分（详见加分项评分标准）</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（2）投标人应同时提供品目清单网络截图，并以明确标注所报产品信息和位置的方式，用以方便评审。</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（3）认证机构和获证产品信息发布媒体：详见中国政府采购网（www.ccgp.gov.cn）建立的与认证结果信息发布平台的链接。</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4.5对于贫困地区农副产品的相关规定</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对于非专门面向贫困地区采购农副产品的项目，在满足价格扣除条件且在投标文件中按要求提交了《贫困地区农副产品声明函》的投标人，对响应报价给予价格扣除，用扣除后的价格参与评审。响应报价扣除比例为相应产品报价的</w:t>
      </w:r>
      <w:r>
        <w:rPr>
          <w:rFonts w:ascii="宋体" w:hAnsi="宋体" w:eastAsia="宋体" w:cs="宋体"/>
          <w:kern w:val="0"/>
          <w:szCs w:val="21"/>
          <w:u w:val="single"/>
        </w:rPr>
        <w:t>2</w:t>
      </w:r>
      <w:r>
        <w:rPr>
          <w:rFonts w:hint="eastAsia" w:ascii="宋体" w:hAnsi="宋体" w:eastAsia="宋体" w:cs="宋体"/>
          <w:kern w:val="0"/>
          <w:szCs w:val="21"/>
        </w:rPr>
        <w:t>%。</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★5、投标无效情况详见投标人须知。</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★6、推荐中标候选人的原则</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详见第一章投标人须知，采用综合评分法的报价相同的处理办法如下：</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得分相同的，按扣除后的投标报价由低到高顺序排列；</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按前款不能区分的，按投标报价由低至高顺序排序；</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按前款不能区分的，优先采购节能产品、环保产品；</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按前款不能区分的，按技术指标优劣排序；</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其他情况，由评标委员会集体研究处理。</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（三）、确定中标人</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评标委员会根据全体评标委员会成员签字的原始评标记录和评标结果编写评标报告，并向采购人提交书面评标报告。</w:t>
      </w:r>
    </w:p>
    <w:p>
      <w:pPr>
        <w:autoSpaceDE w:val="0"/>
        <w:autoSpaceDN w:val="0"/>
        <w:adjustRightInd w:val="0"/>
        <w:spacing w:line="500" w:lineRule="atLeast"/>
        <w:ind w:right="-23" w:firstLine="420" w:firstLineChars="200"/>
        <w:jc w:val="left"/>
        <w:rPr>
          <w:rFonts w:ascii="宋体" w:hAnsi="宋体" w:eastAsia="宋体" w:cs="宋体"/>
          <w:kern w:val="0"/>
          <w:szCs w:val="21"/>
        </w:rPr>
      </w:pPr>
      <w:r>
        <w:rPr>
          <w:rFonts w:hint="eastAsia" w:ascii="宋体" w:hAnsi="宋体" w:eastAsia="宋体" w:cs="宋体"/>
          <w:kern w:val="0"/>
          <w:szCs w:val="21"/>
        </w:rPr>
        <w:t>采购人按照评标报告确定的中标候选人名单按顺序确定中标人，或由采购人委托评标委员会按照第一章投标人须知第31.2条规定的方式确定中标人。</w:t>
      </w:r>
    </w:p>
    <w:p>
      <w:pPr>
        <w:adjustRightInd w:val="0"/>
        <w:snapToGrid w:val="0"/>
        <w:spacing w:line="360" w:lineRule="auto"/>
        <w:ind w:firstLine="420" w:firstLineChars="200"/>
        <w:rPr>
          <w:rFonts w:ascii="宋体" w:hAnsi="宋体" w:eastAsia="宋体" w:cs="宋体"/>
          <w:bCs/>
          <w:kern w:val="0"/>
          <w:szCs w:val="21"/>
        </w:rPr>
        <w:sectPr>
          <w:headerReference r:id="rId6" w:type="default"/>
          <w:footerReference r:id="rId7" w:type="default"/>
          <w:pgSz w:w="11906" w:h="16838"/>
          <w:pgMar w:top="1440" w:right="1803" w:bottom="1440" w:left="1803" w:header="851" w:footer="992" w:gutter="0"/>
          <w:cols w:space="720" w:num="1"/>
          <w:docGrid w:type="lines" w:linePitch="319" w:charSpace="0"/>
        </w:sectPr>
      </w:pPr>
    </w:p>
    <w:p>
      <w:pPr>
        <w:spacing w:line="360" w:lineRule="auto"/>
        <w:jc w:val="center"/>
        <w:rPr>
          <w:rFonts w:ascii="宋体" w:hAnsi="宋体" w:eastAsia="宋体" w:cs="宋体"/>
          <w:b/>
          <w:bCs/>
          <w:sz w:val="30"/>
          <w:szCs w:val="30"/>
        </w:rPr>
      </w:pPr>
      <w:r>
        <w:rPr>
          <w:rFonts w:hint="eastAsia" w:ascii="宋体" w:hAnsi="宋体" w:eastAsia="宋体" w:cs="宋体"/>
          <w:b/>
          <w:bCs/>
          <w:sz w:val="30"/>
          <w:szCs w:val="30"/>
        </w:rPr>
        <w:t>（二）</w:t>
      </w:r>
      <w:bookmarkEnd w:id="28"/>
      <w:bookmarkEnd w:id="29"/>
      <w:r>
        <w:rPr>
          <w:rFonts w:hint="eastAsia" w:ascii="宋体" w:hAnsi="宋体" w:eastAsia="宋体" w:cs="宋体"/>
          <w:b/>
          <w:bCs/>
          <w:sz w:val="30"/>
          <w:szCs w:val="30"/>
        </w:rPr>
        <w:t>综合评分表</w:t>
      </w:r>
    </w:p>
    <w:tbl>
      <w:tblPr>
        <w:tblStyle w:val="29"/>
        <w:tblW w:w="5000" w:type="pct"/>
        <w:tblInd w:w="0" w:type="dxa"/>
        <w:tblLayout w:type="autofit"/>
        <w:tblCellMar>
          <w:top w:w="0" w:type="dxa"/>
          <w:left w:w="108" w:type="dxa"/>
          <w:bottom w:w="0" w:type="dxa"/>
          <w:right w:w="108" w:type="dxa"/>
        </w:tblCellMar>
      </w:tblPr>
      <w:tblGrid>
        <w:gridCol w:w="706"/>
        <w:gridCol w:w="1369"/>
        <w:gridCol w:w="4952"/>
        <w:gridCol w:w="1495"/>
      </w:tblGrid>
      <w:tr>
        <w:tblPrEx>
          <w:tblCellMar>
            <w:top w:w="0" w:type="dxa"/>
            <w:left w:w="108" w:type="dxa"/>
            <w:bottom w:w="0" w:type="dxa"/>
            <w:right w:w="108" w:type="dxa"/>
          </w:tblCellMar>
        </w:tblPrEx>
        <w:trPr>
          <w:trHeight w:val="320" w:hRule="atLeast"/>
        </w:trPr>
        <w:tc>
          <w:tcPr>
            <w:tcW w:w="41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b/>
                <w:bCs/>
              </w:rPr>
            </w:pPr>
            <w:r>
              <w:rPr>
                <w:rFonts w:hint="eastAsia" w:ascii="宋体" w:hAnsi="宋体" w:eastAsia="宋体"/>
                <w:b/>
                <w:bCs/>
              </w:rPr>
              <w:t>评分因素</w:t>
            </w:r>
          </w:p>
        </w:tc>
        <w:tc>
          <w:tcPr>
            <w:tcW w:w="803" w:type="pct"/>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b/>
                <w:bCs/>
              </w:rPr>
            </w:pPr>
            <w:r>
              <w:rPr>
                <w:rFonts w:hint="eastAsia" w:ascii="宋体" w:hAnsi="宋体" w:eastAsia="宋体"/>
                <w:b/>
                <w:bCs/>
              </w:rPr>
              <w:t>评分内容</w:t>
            </w:r>
          </w:p>
        </w:tc>
        <w:tc>
          <w:tcPr>
            <w:tcW w:w="2905" w:type="pct"/>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b/>
                <w:bCs/>
              </w:rPr>
            </w:pPr>
            <w:r>
              <w:rPr>
                <w:rFonts w:hint="eastAsia" w:ascii="宋体" w:hAnsi="宋体" w:eastAsia="宋体"/>
                <w:b/>
                <w:bCs/>
              </w:rPr>
              <w:t>评分标准</w:t>
            </w:r>
          </w:p>
        </w:tc>
        <w:tc>
          <w:tcPr>
            <w:tcW w:w="877" w:type="pct"/>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eastAsia="宋体"/>
                <w:b/>
                <w:bCs/>
              </w:rPr>
            </w:pPr>
            <w:r>
              <w:rPr>
                <w:rFonts w:hint="eastAsia" w:ascii="宋体" w:hAnsi="宋体" w:eastAsia="宋体"/>
                <w:b/>
                <w:bCs/>
              </w:rPr>
              <w:t>分值</w:t>
            </w:r>
          </w:p>
        </w:tc>
      </w:tr>
      <w:tr>
        <w:tblPrEx>
          <w:tblCellMar>
            <w:top w:w="0" w:type="dxa"/>
            <w:left w:w="108" w:type="dxa"/>
            <w:bottom w:w="0" w:type="dxa"/>
            <w:right w:w="108" w:type="dxa"/>
          </w:tblCellMar>
        </w:tblPrEx>
        <w:trPr>
          <w:trHeight w:val="2140" w:hRule="atLeast"/>
        </w:trPr>
        <w:tc>
          <w:tcPr>
            <w:tcW w:w="414" w:type="pct"/>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eastAsia="宋体"/>
              </w:rPr>
            </w:pPr>
            <w:r>
              <w:rPr>
                <w:rFonts w:hint="eastAsia" w:ascii="宋体" w:hAnsi="宋体" w:eastAsia="宋体"/>
              </w:rPr>
              <w:t>报价</w:t>
            </w:r>
          </w:p>
          <w:p>
            <w:pPr>
              <w:rPr>
                <w:rFonts w:ascii="宋体" w:hAnsi="宋体" w:eastAsia="宋体"/>
              </w:rPr>
            </w:pPr>
            <w:r>
              <w:rPr>
                <w:rFonts w:hint="eastAsia" w:ascii="宋体" w:hAnsi="宋体" w:eastAsia="宋体"/>
              </w:rPr>
              <w:t>（40分）</w:t>
            </w:r>
          </w:p>
        </w:tc>
        <w:tc>
          <w:tcPr>
            <w:tcW w:w="803"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rPr>
            </w:pPr>
            <w:r>
              <w:rPr>
                <w:rFonts w:hint="eastAsia" w:ascii="宋体" w:hAnsi="宋体" w:eastAsia="宋体"/>
              </w:rPr>
              <w:t>投标报价</w:t>
            </w:r>
          </w:p>
        </w:tc>
        <w:tc>
          <w:tcPr>
            <w:tcW w:w="2905" w:type="pct"/>
            <w:tcBorders>
              <w:top w:val="single" w:color="auto" w:sz="4" w:space="0"/>
              <w:left w:val="nil"/>
              <w:bottom w:val="single" w:color="auto" w:sz="4" w:space="0"/>
              <w:right w:val="single" w:color="auto" w:sz="4" w:space="0"/>
            </w:tcBorders>
            <w:shd w:val="clear" w:color="auto" w:fill="auto"/>
            <w:vAlign w:val="center"/>
          </w:tcPr>
          <w:p>
            <w:pPr>
              <w:rPr>
                <w:rFonts w:ascii="宋体" w:hAnsi="宋体" w:eastAsia="宋体"/>
              </w:rPr>
            </w:pPr>
            <w:r>
              <w:rPr>
                <w:rFonts w:hint="eastAsia" w:ascii="宋体" w:hAnsi="宋体" w:eastAsia="宋体"/>
              </w:rPr>
              <w:t>投标报价分统一采用低价优先法计算，即满足招标文件要求且投标价格最低的投标报价为评标基准价，其价格分为满分。其他投标人的价格分统一按照下列公式计算：投标报价得分</w:t>
            </w:r>
            <w:r>
              <w:rPr>
                <w:rFonts w:eastAsia="宋体"/>
              </w:rPr>
              <w:t>=</w:t>
            </w:r>
            <w:r>
              <w:rPr>
                <w:rFonts w:hint="eastAsia" w:ascii="宋体" w:hAnsi="宋体" w:eastAsia="宋体"/>
              </w:rPr>
              <w:t>（评标基准价/投标报价）×40</w:t>
            </w:r>
          </w:p>
          <w:p>
            <w:pPr>
              <w:rPr>
                <w:rFonts w:ascii="宋体" w:hAnsi="宋体" w:eastAsia="宋体"/>
              </w:rPr>
            </w:pPr>
            <w:r>
              <w:rPr>
                <w:rFonts w:hint="eastAsia" w:ascii="宋体" w:hAnsi="宋体" w:eastAsia="宋体"/>
              </w:rPr>
              <w:t>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p>
        </w:tc>
        <w:tc>
          <w:tcPr>
            <w:tcW w:w="877"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rPr>
            </w:pPr>
            <w:r>
              <w:rPr>
                <w:rFonts w:hint="eastAsia" w:ascii="宋体" w:hAnsi="宋体" w:eastAsia="宋体"/>
              </w:rPr>
              <w:t>40</w:t>
            </w:r>
          </w:p>
        </w:tc>
      </w:tr>
      <w:tr>
        <w:tblPrEx>
          <w:tblCellMar>
            <w:top w:w="0" w:type="dxa"/>
            <w:left w:w="108" w:type="dxa"/>
            <w:bottom w:w="0" w:type="dxa"/>
            <w:right w:w="108" w:type="dxa"/>
          </w:tblCellMar>
        </w:tblPrEx>
        <w:trPr>
          <w:trHeight w:val="600" w:hRule="atLeast"/>
        </w:trPr>
        <w:tc>
          <w:tcPr>
            <w:tcW w:w="414" w:type="pct"/>
            <w:tcBorders>
              <w:left w:val="single" w:color="auto" w:sz="4" w:space="0"/>
              <w:right w:val="single" w:color="auto" w:sz="4" w:space="0"/>
            </w:tcBorders>
            <w:shd w:val="clear" w:color="auto" w:fill="auto"/>
            <w:vAlign w:val="center"/>
          </w:tcPr>
          <w:p>
            <w:pPr>
              <w:jc w:val="center"/>
              <w:rPr>
                <w:rFonts w:ascii="宋体" w:hAnsi="宋体" w:eastAsia="宋体"/>
              </w:rPr>
            </w:pPr>
          </w:p>
        </w:tc>
        <w:tc>
          <w:tcPr>
            <w:tcW w:w="803"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rPr>
            </w:pPr>
            <w:r>
              <w:rPr>
                <w:rFonts w:hint="eastAsia" w:ascii="宋体" w:hAnsi="宋体" w:eastAsia="宋体"/>
              </w:rPr>
              <w:t>技术指标响应情况（演示视频部分除外）</w:t>
            </w:r>
          </w:p>
        </w:tc>
        <w:tc>
          <w:tcPr>
            <w:tcW w:w="2905" w:type="pct"/>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eastAsia="宋体"/>
              </w:rPr>
            </w:pPr>
            <w:r>
              <w:rPr>
                <w:rFonts w:hint="eastAsia" w:ascii="宋体" w:hAnsi="宋体" w:eastAsia="宋体"/>
              </w:rPr>
              <w:t>根据投标文件对招标文件要求的技术指标响应情况，判断技术指标响应是否满足招标文件的要求，技术要求中标注★的技术指标每一条不满足扣2分，非标注★的技术指标每一条不满足扣0.52分，在28分基础上扣完为止。</w:t>
            </w:r>
          </w:p>
          <w:p>
            <w:pPr>
              <w:rPr>
                <w:rFonts w:ascii="宋体" w:hAnsi="宋体" w:eastAsia="宋体"/>
              </w:rPr>
            </w:pPr>
            <w:r>
              <w:rPr>
                <w:rFonts w:hint="eastAsia" w:ascii="宋体" w:hAnsi="宋体" w:eastAsia="宋体"/>
              </w:rPr>
              <w:t>注：每一条指的四级及以上标题内容，四级标题以下内容总归到四级标题内容。</w:t>
            </w:r>
          </w:p>
        </w:tc>
        <w:tc>
          <w:tcPr>
            <w:tcW w:w="877"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rPr>
            </w:pPr>
            <w:r>
              <w:rPr>
                <w:rFonts w:hint="eastAsia" w:ascii="宋体" w:hAnsi="宋体" w:eastAsia="宋体"/>
              </w:rPr>
              <w:t>28</w:t>
            </w:r>
          </w:p>
        </w:tc>
      </w:tr>
      <w:tr>
        <w:tblPrEx>
          <w:tblCellMar>
            <w:top w:w="0" w:type="dxa"/>
            <w:left w:w="108" w:type="dxa"/>
            <w:bottom w:w="0" w:type="dxa"/>
            <w:right w:w="108" w:type="dxa"/>
          </w:tblCellMar>
        </w:tblPrEx>
        <w:trPr>
          <w:trHeight w:val="600" w:hRule="atLeast"/>
        </w:trPr>
        <w:tc>
          <w:tcPr>
            <w:tcW w:w="414" w:type="pct"/>
            <w:vMerge w:val="restart"/>
            <w:tcBorders>
              <w:left w:val="single" w:color="auto" w:sz="4" w:space="0"/>
              <w:right w:val="single" w:color="auto" w:sz="4" w:space="0"/>
            </w:tcBorders>
            <w:shd w:val="clear" w:color="auto" w:fill="auto"/>
            <w:vAlign w:val="center"/>
          </w:tcPr>
          <w:p>
            <w:pPr>
              <w:jc w:val="center"/>
              <w:rPr>
                <w:rFonts w:ascii="宋体" w:hAnsi="宋体" w:eastAsia="宋体"/>
              </w:rPr>
            </w:pPr>
            <w:r>
              <w:rPr>
                <w:rFonts w:hint="eastAsia" w:ascii="宋体" w:hAnsi="宋体" w:eastAsia="宋体"/>
              </w:rPr>
              <w:t>技术部分（43分）</w:t>
            </w:r>
          </w:p>
        </w:tc>
        <w:tc>
          <w:tcPr>
            <w:tcW w:w="1369"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80" w:lineRule="exact"/>
              <w:ind w:right="105" w:rightChars="50"/>
              <w:jc w:val="center"/>
              <w:rPr>
                <w:rFonts w:ascii="宋体" w:hAnsi="宋体" w:eastAsia="宋体"/>
              </w:rPr>
            </w:pPr>
            <w:r>
              <w:rPr>
                <w:rFonts w:hint="eastAsia" w:ascii="宋体" w:hAnsi="宋体" w:eastAsia="宋体" w:cs="宋体"/>
                <w:szCs w:val="21"/>
              </w:rPr>
              <w:t>安装调试方案</w:t>
            </w:r>
          </w:p>
        </w:tc>
        <w:tc>
          <w:tcPr>
            <w:tcW w:w="495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eastAsia="宋体" w:cs="宋体"/>
                <w:szCs w:val="21"/>
              </w:rPr>
            </w:pPr>
            <w:r>
              <w:rPr>
                <w:rFonts w:hint="eastAsia" w:ascii="宋体" w:hAnsi="宋体" w:eastAsia="宋体" w:cs="宋体"/>
                <w:szCs w:val="21"/>
              </w:rPr>
              <w:t>根据供应商提供的安装方案，包括但不仅限于安装进度计划、安装方法、安装质量保障、试运行测试、运行维护等方面按以下标准进行打分：</w:t>
            </w:r>
          </w:p>
          <w:p>
            <w:pPr>
              <w:rPr>
                <w:rFonts w:ascii="宋体" w:hAnsi="宋体" w:eastAsia="宋体" w:cs="宋体"/>
                <w:szCs w:val="21"/>
              </w:rPr>
            </w:pPr>
            <w:r>
              <w:rPr>
                <w:rFonts w:hint="eastAsia" w:ascii="宋体" w:hAnsi="宋体" w:eastAsia="宋体" w:cs="宋体"/>
                <w:szCs w:val="21"/>
              </w:rPr>
              <w:t>（1）安装调试方案完全满足采购需求的得5分；</w:t>
            </w:r>
          </w:p>
          <w:p>
            <w:pPr>
              <w:rPr>
                <w:rFonts w:ascii="宋体" w:hAnsi="宋体" w:eastAsia="宋体" w:cs="宋体"/>
                <w:szCs w:val="21"/>
              </w:rPr>
            </w:pPr>
            <w:r>
              <w:rPr>
                <w:rFonts w:hint="eastAsia" w:ascii="宋体" w:hAnsi="宋体" w:eastAsia="宋体" w:cs="宋体"/>
                <w:szCs w:val="21"/>
              </w:rPr>
              <w:t>（2）安装调试方案中每有一个内容不满足或有瑕疵的扣1分，最多扣5分；</w:t>
            </w:r>
          </w:p>
          <w:p>
            <w:pPr>
              <w:rPr>
                <w:rFonts w:ascii="宋体" w:hAnsi="宋体" w:eastAsia="宋体"/>
              </w:rPr>
            </w:pPr>
            <w:r>
              <w:rPr>
                <w:rFonts w:hint="eastAsia" w:ascii="宋体" w:hAnsi="宋体" w:eastAsia="宋体" w:cs="宋体"/>
                <w:szCs w:val="21"/>
              </w:rPr>
              <w:t>（3）未提供不得分。</w:t>
            </w:r>
          </w:p>
        </w:tc>
        <w:tc>
          <w:tcPr>
            <w:tcW w:w="877"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rPr>
            </w:pPr>
            <w:r>
              <w:rPr>
                <w:rFonts w:hint="eastAsia" w:ascii="宋体" w:hAnsi="宋体" w:eastAsia="宋体"/>
              </w:rPr>
              <w:t>5</w:t>
            </w:r>
          </w:p>
        </w:tc>
      </w:tr>
      <w:tr>
        <w:tblPrEx>
          <w:tblCellMar>
            <w:top w:w="0" w:type="dxa"/>
            <w:left w:w="108" w:type="dxa"/>
            <w:bottom w:w="0" w:type="dxa"/>
            <w:right w:w="108" w:type="dxa"/>
          </w:tblCellMar>
        </w:tblPrEx>
        <w:trPr>
          <w:trHeight w:val="600" w:hRule="atLeast"/>
        </w:trPr>
        <w:tc>
          <w:tcPr>
            <w:tcW w:w="414" w:type="pct"/>
            <w:vMerge w:val="continue"/>
            <w:tcBorders>
              <w:left w:val="single" w:color="auto" w:sz="4" w:space="0"/>
              <w:bottom w:val="single" w:color="auto" w:sz="4" w:space="0"/>
              <w:right w:val="single" w:color="auto" w:sz="4" w:space="0"/>
            </w:tcBorders>
            <w:shd w:val="clear" w:color="auto" w:fill="auto"/>
            <w:vAlign w:val="center"/>
          </w:tcPr>
          <w:p>
            <w:pPr>
              <w:jc w:val="center"/>
              <w:rPr>
                <w:rFonts w:ascii="宋体" w:hAnsi="宋体" w:eastAsia="宋体"/>
              </w:rPr>
            </w:pPr>
          </w:p>
        </w:tc>
        <w:tc>
          <w:tcPr>
            <w:tcW w:w="803"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rPr>
            </w:pPr>
            <w:r>
              <w:rPr>
                <w:rFonts w:hint="eastAsia" w:ascii="宋体" w:hAnsi="宋体" w:eastAsia="宋体"/>
              </w:rPr>
              <w:t>演示视频部分</w:t>
            </w:r>
          </w:p>
        </w:tc>
        <w:tc>
          <w:tcPr>
            <w:tcW w:w="290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
              <w:spacing w:line="240" w:lineRule="auto"/>
              <w:rPr>
                <w:rFonts w:ascii="宋体" w:hAnsi="宋体" w:eastAsia="宋体"/>
                <w:b w:val="0"/>
                <w:bCs w:val="0"/>
                <w:spacing w:val="0"/>
                <w:sz w:val="21"/>
                <w:szCs w:val="24"/>
              </w:rPr>
            </w:pPr>
            <w:r>
              <w:rPr>
                <w:rFonts w:hint="eastAsia" w:ascii="宋体" w:hAnsi="宋体" w:eastAsia="宋体"/>
                <w:b w:val="0"/>
                <w:bCs w:val="0"/>
                <w:spacing w:val="0"/>
                <w:sz w:val="21"/>
                <w:szCs w:val="24"/>
              </w:rPr>
              <w:t>投标人应提供演示视频，视频演示时长10分钟以内。</w:t>
            </w:r>
          </w:p>
          <w:p>
            <w:pPr>
              <w:pStyle w:val="10"/>
              <w:spacing w:line="240" w:lineRule="auto"/>
              <w:rPr>
                <w:rFonts w:ascii="宋体" w:hAnsi="宋体" w:eastAsia="宋体"/>
                <w:b w:val="0"/>
                <w:bCs w:val="0"/>
                <w:spacing w:val="0"/>
                <w:sz w:val="21"/>
                <w:szCs w:val="24"/>
              </w:rPr>
            </w:pPr>
            <w:r>
              <w:rPr>
                <w:rFonts w:hint="eastAsia" w:ascii="宋体" w:hAnsi="宋体" w:eastAsia="宋体"/>
                <w:b w:val="0"/>
                <w:bCs w:val="0"/>
                <w:spacing w:val="0"/>
                <w:sz w:val="21"/>
                <w:szCs w:val="24"/>
              </w:rPr>
              <w:t>视频演示内容应包括：</w:t>
            </w:r>
          </w:p>
          <w:p>
            <w:pPr>
              <w:pStyle w:val="10"/>
              <w:spacing w:line="240" w:lineRule="auto"/>
              <w:rPr>
                <w:rFonts w:ascii="宋体" w:hAnsi="宋体" w:eastAsia="宋体"/>
                <w:b w:val="0"/>
                <w:bCs w:val="0"/>
                <w:spacing w:val="0"/>
                <w:sz w:val="21"/>
                <w:szCs w:val="24"/>
              </w:rPr>
            </w:pPr>
            <w:r>
              <w:rPr>
                <w:rFonts w:hint="eastAsia" w:ascii="宋体" w:hAnsi="宋体" w:eastAsia="宋体"/>
                <w:b w:val="0"/>
                <w:bCs w:val="0"/>
                <w:spacing w:val="0"/>
                <w:sz w:val="21"/>
                <w:szCs w:val="24"/>
              </w:rPr>
              <w:t>1.乘务员出勤实训模块演示：依据机车乘务员一次乘务作业标准中出勤作业要求，以机务段派班室真实出勤作业为场景，按标准作业流程对学员进行培训和演练评定。演示要点齐全，和真实场景接近度高得2.5分；演示不齐全，和真实场景接近度一般得1.5分；演示要点不齐全，和真实场景差距大得0.5分，未提供不得分（2.5分）。</w:t>
            </w:r>
          </w:p>
          <w:p>
            <w:pPr>
              <w:rPr>
                <w:rFonts w:ascii="宋体" w:hAnsi="宋体" w:eastAsia="宋体"/>
              </w:rPr>
            </w:pPr>
            <w:r>
              <w:rPr>
                <w:rFonts w:hint="eastAsia" w:ascii="宋体" w:hAnsi="宋体" w:eastAsia="宋体"/>
              </w:rPr>
              <w:t>2.乘务员途中运行实训模块演示：依据机车乘务员一次乘务作业标准中途中运行作业要求，以机车乘务员真实途中运行作业为场景，按标准作业流程对学员进行培训和演练评定。演示要点齐全，和真实场景接近度高得2.5分；演示不齐全，和真实场景接近度一般得1.5分；演示要点不齐全，和真实场景差距大得0.5分，未提供不得分（2.5分）。</w:t>
            </w:r>
          </w:p>
          <w:p>
            <w:pPr>
              <w:rPr>
                <w:rFonts w:ascii="宋体" w:hAnsi="宋体" w:eastAsia="宋体"/>
              </w:rPr>
            </w:pPr>
            <w:r>
              <w:rPr>
                <w:rFonts w:hint="eastAsia" w:ascii="宋体" w:hAnsi="宋体" w:eastAsia="宋体"/>
              </w:rPr>
              <w:t>3.乘务员退勤实训模块演示：依据机车乘务员一次乘务作业标准中退勤作业要求，以机务段派班室真实退勤作业为场景，按标准作业流程对学员进行培训和演练评定。演示要点齐全，和真实场景接近度高得2.5分；演示不齐全，和真实场景接近度一般得1.5分；演示要点不齐全，和真实场景差距大得0.5分，未提供不得分（2.5分）。</w:t>
            </w:r>
          </w:p>
          <w:p>
            <w:pPr>
              <w:pStyle w:val="10"/>
              <w:spacing w:line="240" w:lineRule="auto"/>
              <w:rPr>
                <w:rFonts w:ascii="宋体" w:hAnsi="宋体" w:eastAsia="宋体"/>
                <w:b w:val="0"/>
                <w:bCs w:val="0"/>
                <w:spacing w:val="0"/>
                <w:sz w:val="21"/>
                <w:szCs w:val="24"/>
              </w:rPr>
            </w:pPr>
            <w:r>
              <w:rPr>
                <w:rFonts w:hint="eastAsia" w:ascii="宋体" w:hAnsi="宋体" w:eastAsia="宋体"/>
                <w:b w:val="0"/>
                <w:bCs w:val="0"/>
                <w:spacing w:val="0"/>
                <w:sz w:val="21"/>
                <w:szCs w:val="24"/>
              </w:rPr>
              <w:t>4.电路设计及组装调试模块演示：根据控制原理进行电路设计及组装调试及验证、PLC编程、以及故障判断处理进行演示。（包括机车受电弓升/降弓控制电路和主断控制电路、牵引和制动控制电路等主要机车控制电路）。能实现上述全部功能，设计合理得2.5分；能实现部分功能，设计基本合理给1.5分；设计不合理，能实现部分功能给0.5分；不提交视频不给分（2.5分）。</w:t>
            </w:r>
          </w:p>
          <w:p>
            <w:pPr>
              <w:rPr>
                <w:rFonts w:ascii="宋体" w:hAnsi="宋体" w:eastAsia="宋体"/>
                <w:szCs w:val="21"/>
              </w:rPr>
            </w:pPr>
            <w:r>
              <w:rPr>
                <w:rFonts w:hint="eastAsia" w:ascii="宋体" w:hAnsi="宋体" w:eastAsia="宋体"/>
                <w:szCs w:val="21"/>
                <w:lang w:val="zh-CN"/>
              </w:rPr>
              <w:t>注：投标人</w:t>
            </w:r>
            <w:r>
              <w:rPr>
                <w:rFonts w:hint="eastAsia" w:ascii="宋体" w:hAnsi="宋体" w:eastAsia="宋体"/>
                <w:szCs w:val="21"/>
              </w:rPr>
              <w:t>须</w:t>
            </w:r>
            <w:r>
              <w:rPr>
                <w:rFonts w:hint="eastAsia" w:ascii="宋体" w:hAnsi="宋体" w:eastAsia="宋体"/>
                <w:szCs w:val="21"/>
                <w:lang w:val="zh-CN"/>
              </w:rPr>
              <w:t>将所要演示的内容拷贝到U盘中提交，为了方便评标现场视频的顺利播放，建议采用 mp4 格式；若采用其他格式的视频演示，请提前自行下载播放器应用程序，应用程序同时拷贝到U盘，</w:t>
            </w:r>
            <w:r>
              <w:rPr>
                <w:rFonts w:hint="eastAsia" w:ascii="宋体" w:hAnsi="宋体" w:eastAsia="宋体"/>
                <w:szCs w:val="21"/>
              </w:rPr>
              <w:t>评审专家</w:t>
            </w:r>
            <w:r>
              <w:rPr>
                <w:rFonts w:hint="eastAsia" w:ascii="宋体" w:hAnsi="宋体" w:eastAsia="宋体"/>
                <w:szCs w:val="21"/>
                <w:lang w:val="zh-CN"/>
              </w:rPr>
              <w:t>根据演示视频对</w:t>
            </w:r>
            <w:r>
              <w:rPr>
                <w:rFonts w:hint="eastAsia" w:ascii="宋体" w:hAnsi="宋体" w:eastAsia="宋体"/>
                <w:szCs w:val="21"/>
              </w:rPr>
              <w:t>投标人</w:t>
            </w:r>
            <w:r>
              <w:rPr>
                <w:rFonts w:hint="eastAsia" w:ascii="宋体" w:hAnsi="宋体" w:eastAsia="宋体"/>
                <w:szCs w:val="21"/>
                <w:lang w:val="zh-CN"/>
              </w:rPr>
              <w:t>进行打分。</w:t>
            </w:r>
          </w:p>
        </w:tc>
        <w:tc>
          <w:tcPr>
            <w:tcW w:w="877"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eastAsia="宋体"/>
              </w:rPr>
            </w:pPr>
            <w:r>
              <w:rPr>
                <w:rFonts w:hint="eastAsia" w:ascii="宋体" w:hAnsi="宋体" w:eastAsia="宋体"/>
              </w:rPr>
              <w:t>10</w:t>
            </w:r>
          </w:p>
        </w:tc>
      </w:tr>
      <w:tr>
        <w:tblPrEx>
          <w:tblCellMar>
            <w:top w:w="0" w:type="dxa"/>
            <w:left w:w="108" w:type="dxa"/>
            <w:bottom w:w="0" w:type="dxa"/>
            <w:right w:w="108" w:type="dxa"/>
          </w:tblCellMar>
        </w:tblPrEx>
        <w:trPr>
          <w:trHeight w:val="90" w:hRule="atLeast"/>
        </w:trPr>
        <w:tc>
          <w:tcPr>
            <w:tcW w:w="414" w:type="pct"/>
            <w:vMerge w:val="restart"/>
            <w:tcBorders>
              <w:top w:val="single" w:color="auto" w:sz="4" w:space="0"/>
              <w:left w:val="single" w:color="auto" w:sz="4" w:space="0"/>
              <w:right w:val="single" w:color="auto" w:sz="4" w:space="0"/>
            </w:tcBorders>
            <w:shd w:val="clear" w:color="auto" w:fill="auto"/>
            <w:vAlign w:val="center"/>
          </w:tcPr>
          <w:p>
            <w:pPr>
              <w:jc w:val="center"/>
              <w:rPr>
                <w:rFonts w:ascii="宋体" w:hAnsi="宋体" w:eastAsia="宋体"/>
              </w:rPr>
            </w:pPr>
            <w:r>
              <w:rPr>
                <w:rFonts w:hint="eastAsia" w:ascii="宋体" w:hAnsi="宋体" w:eastAsia="宋体"/>
              </w:rPr>
              <w:t>商务部分（17分）</w:t>
            </w:r>
          </w:p>
        </w:tc>
        <w:tc>
          <w:tcPr>
            <w:tcW w:w="803" w:type="pct"/>
            <w:tcBorders>
              <w:top w:val="nil"/>
              <w:left w:val="single" w:color="auto" w:sz="4" w:space="0"/>
              <w:bottom w:val="single" w:color="000000" w:sz="4" w:space="0"/>
              <w:right w:val="single" w:color="auto" w:sz="4" w:space="0"/>
            </w:tcBorders>
            <w:shd w:val="clear" w:color="auto" w:fill="auto"/>
            <w:vAlign w:val="center"/>
          </w:tcPr>
          <w:p>
            <w:pPr>
              <w:jc w:val="center"/>
              <w:rPr>
                <w:rFonts w:ascii="宋体" w:hAnsi="宋体" w:eastAsia="宋体"/>
              </w:rPr>
            </w:pPr>
            <w:r>
              <w:rPr>
                <w:rFonts w:hint="eastAsia" w:ascii="宋体" w:hAnsi="宋体" w:eastAsia="宋体"/>
              </w:rPr>
              <w:t>业绩</w:t>
            </w:r>
          </w:p>
        </w:tc>
        <w:tc>
          <w:tcPr>
            <w:tcW w:w="2905" w:type="pct"/>
            <w:tcBorders>
              <w:top w:val="nil"/>
              <w:left w:val="nil"/>
              <w:bottom w:val="single" w:color="auto" w:sz="4" w:space="0"/>
              <w:right w:val="single" w:color="auto" w:sz="4" w:space="0"/>
            </w:tcBorders>
            <w:shd w:val="clear" w:color="auto" w:fill="auto"/>
            <w:vAlign w:val="center"/>
          </w:tcPr>
          <w:p>
            <w:pPr>
              <w:rPr>
                <w:rFonts w:ascii="宋体" w:hAnsi="宋体" w:eastAsia="宋体"/>
              </w:rPr>
            </w:pPr>
            <w:r>
              <w:rPr>
                <w:rFonts w:hint="eastAsia" w:ascii="宋体" w:hAnsi="宋体" w:eastAsia="宋体"/>
              </w:rPr>
              <w:t>投标人提供自2018年1月1日以来跟本次招标内容相关的成功案例，每提供一份相关合同业绩得2分，最高得8分。</w:t>
            </w:r>
          </w:p>
          <w:p>
            <w:pPr>
              <w:rPr>
                <w:rFonts w:ascii="宋体" w:hAnsi="宋体" w:eastAsia="宋体"/>
              </w:rPr>
            </w:pPr>
            <w:r>
              <w:rPr>
                <w:rFonts w:hint="eastAsia" w:ascii="宋体" w:hAnsi="宋体" w:eastAsia="宋体"/>
              </w:rPr>
              <w:t>注：须提供合同、中标通知书的复印件加盖投标人公章。</w:t>
            </w:r>
          </w:p>
        </w:tc>
        <w:tc>
          <w:tcPr>
            <w:tcW w:w="877" w:type="pct"/>
            <w:tcBorders>
              <w:top w:val="nil"/>
              <w:left w:val="nil"/>
              <w:bottom w:val="single" w:color="auto" w:sz="4" w:space="0"/>
              <w:right w:val="single" w:color="auto" w:sz="4" w:space="0"/>
            </w:tcBorders>
            <w:shd w:val="clear" w:color="auto" w:fill="auto"/>
            <w:vAlign w:val="center"/>
          </w:tcPr>
          <w:p>
            <w:pPr>
              <w:jc w:val="center"/>
              <w:rPr>
                <w:rFonts w:ascii="宋体" w:hAnsi="宋体" w:eastAsia="宋体"/>
              </w:rPr>
            </w:pPr>
            <w:r>
              <w:rPr>
                <w:rFonts w:hint="eastAsia" w:ascii="宋体" w:hAnsi="宋体" w:eastAsia="宋体"/>
              </w:rPr>
              <w:t>8</w:t>
            </w:r>
          </w:p>
        </w:tc>
      </w:tr>
      <w:tr>
        <w:tblPrEx>
          <w:tblCellMar>
            <w:top w:w="0" w:type="dxa"/>
            <w:left w:w="108" w:type="dxa"/>
            <w:bottom w:w="0" w:type="dxa"/>
            <w:right w:w="108" w:type="dxa"/>
          </w:tblCellMar>
        </w:tblPrEx>
        <w:trPr>
          <w:trHeight w:val="785" w:hRule="atLeast"/>
        </w:trPr>
        <w:tc>
          <w:tcPr>
            <w:tcW w:w="414" w:type="pct"/>
            <w:vMerge w:val="continue"/>
            <w:tcBorders>
              <w:left w:val="single" w:color="auto" w:sz="4" w:space="0"/>
              <w:right w:val="single" w:color="auto" w:sz="4" w:space="0"/>
            </w:tcBorders>
            <w:shd w:val="clear" w:color="auto" w:fill="auto"/>
            <w:vAlign w:val="center"/>
          </w:tcPr>
          <w:p>
            <w:pPr>
              <w:jc w:val="center"/>
              <w:rPr>
                <w:rFonts w:ascii="宋体" w:hAnsi="宋体" w:eastAsia="宋体"/>
              </w:rPr>
            </w:pPr>
          </w:p>
        </w:tc>
        <w:tc>
          <w:tcPr>
            <w:tcW w:w="803" w:type="pct"/>
            <w:vMerge w:val="restart"/>
            <w:tcBorders>
              <w:top w:val="nil"/>
              <w:left w:val="single" w:color="auto" w:sz="4" w:space="0"/>
              <w:right w:val="single" w:color="auto" w:sz="4" w:space="0"/>
            </w:tcBorders>
            <w:shd w:val="clear" w:color="auto" w:fill="auto"/>
            <w:vAlign w:val="center"/>
          </w:tcPr>
          <w:p>
            <w:pPr>
              <w:jc w:val="center"/>
              <w:rPr>
                <w:rFonts w:ascii="宋体" w:hAnsi="宋体" w:eastAsia="宋体"/>
              </w:rPr>
            </w:pPr>
            <w:r>
              <w:rPr>
                <w:rFonts w:hint="eastAsia" w:ascii="宋体" w:hAnsi="宋体" w:eastAsia="宋体"/>
              </w:rPr>
              <w:t>综合能力</w:t>
            </w:r>
          </w:p>
        </w:tc>
        <w:tc>
          <w:tcPr>
            <w:tcW w:w="2905" w:type="pct"/>
            <w:tcBorders>
              <w:top w:val="nil"/>
              <w:left w:val="nil"/>
              <w:bottom w:val="single" w:color="auto" w:sz="4" w:space="0"/>
              <w:right w:val="single" w:color="auto" w:sz="4" w:space="0"/>
            </w:tcBorders>
            <w:shd w:val="clear" w:color="auto" w:fill="auto"/>
            <w:vAlign w:val="center"/>
          </w:tcPr>
          <w:p>
            <w:pPr>
              <w:rPr>
                <w:rFonts w:ascii="宋体" w:hAnsi="宋体" w:eastAsia="宋体"/>
              </w:rPr>
            </w:pPr>
            <w:r>
              <w:rPr>
                <w:rFonts w:hint="eastAsia" w:ascii="宋体" w:hAnsi="宋体" w:eastAsia="宋体"/>
              </w:rPr>
              <w:t>投标人同时具备信息技术服务管理体系认证、</w:t>
            </w:r>
            <w:r>
              <w:rPr>
                <w:rFonts w:ascii="宋体" w:hAnsi="宋体" w:eastAsia="宋体" w:cs="宋体"/>
                <w:szCs w:val="21"/>
              </w:rPr>
              <w:t>ISO/TS22163</w:t>
            </w:r>
            <w:r>
              <w:rPr>
                <w:rFonts w:hint="eastAsia" w:ascii="宋体" w:hAnsi="宋体" w:eastAsia="宋体" w:cs="宋体"/>
                <w:szCs w:val="21"/>
              </w:rPr>
              <w:t>：</w:t>
            </w:r>
            <w:r>
              <w:rPr>
                <w:rFonts w:ascii="宋体" w:hAnsi="宋体" w:eastAsia="宋体" w:cs="宋体"/>
                <w:szCs w:val="21"/>
              </w:rPr>
              <w:t xml:space="preserve">2017 </w:t>
            </w:r>
            <w:r>
              <w:rPr>
                <w:rFonts w:hint="eastAsia" w:ascii="宋体" w:hAnsi="宋体" w:eastAsia="宋体" w:cs="宋体"/>
                <w:szCs w:val="21"/>
              </w:rPr>
              <w:t>铁路行业质量管理体系认证、知识产权管理体系认证证书</w:t>
            </w:r>
            <w:r>
              <w:rPr>
                <w:rFonts w:hint="eastAsia" w:ascii="宋体" w:hAnsi="宋体" w:eastAsia="宋体"/>
              </w:rPr>
              <w:t>得3分，缺一个扣1分。（标书中须附认证证书复印件及证书网上查询截图，否则不得分。）</w:t>
            </w:r>
          </w:p>
        </w:tc>
        <w:tc>
          <w:tcPr>
            <w:tcW w:w="877" w:type="pct"/>
            <w:vMerge w:val="restart"/>
            <w:tcBorders>
              <w:top w:val="nil"/>
              <w:left w:val="nil"/>
              <w:right w:val="single" w:color="auto" w:sz="4" w:space="0"/>
            </w:tcBorders>
            <w:shd w:val="clear" w:color="auto" w:fill="auto"/>
            <w:vAlign w:val="center"/>
          </w:tcPr>
          <w:p>
            <w:pPr>
              <w:jc w:val="center"/>
              <w:rPr>
                <w:rFonts w:ascii="宋体" w:hAnsi="宋体" w:eastAsia="宋体"/>
              </w:rPr>
            </w:pPr>
            <w:r>
              <w:rPr>
                <w:rFonts w:hint="eastAsia" w:ascii="宋体" w:hAnsi="宋体" w:eastAsia="宋体"/>
              </w:rPr>
              <w:t>6</w:t>
            </w:r>
          </w:p>
        </w:tc>
      </w:tr>
      <w:tr>
        <w:tblPrEx>
          <w:tblCellMar>
            <w:top w:w="0" w:type="dxa"/>
            <w:left w:w="108" w:type="dxa"/>
            <w:bottom w:w="0" w:type="dxa"/>
            <w:right w:w="108" w:type="dxa"/>
          </w:tblCellMar>
        </w:tblPrEx>
        <w:trPr>
          <w:trHeight w:val="785" w:hRule="atLeast"/>
        </w:trPr>
        <w:tc>
          <w:tcPr>
            <w:tcW w:w="414" w:type="pct"/>
            <w:vMerge w:val="continue"/>
            <w:tcBorders>
              <w:left w:val="single" w:color="auto" w:sz="4" w:space="0"/>
              <w:right w:val="single" w:color="auto" w:sz="4" w:space="0"/>
            </w:tcBorders>
            <w:shd w:val="clear" w:color="auto" w:fill="auto"/>
            <w:vAlign w:val="center"/>
          </w:tcPr>
          <w:p>
            <w:pPr>
              <w:jc w:val="center"/>
            </w:pPr>
          </w:p>
        </w:tc>
        <w:tc>
          <w:tcPr>
            <w:tcW w:w="803" w:type="pct"/>
            <w:vMerge w:val="continue"/>
            <w:tcBorders>
              <w:left w:val="single" w:color="auto" w:sz="4" w:space="0"/>
              <w:bottom w:val="single" w:color="000000" w:sz="4" w:space="0"/>
              <w:right w:val="single" w:color="auto" w:sz="4" w:space="0"/>
            </w:tcBorders>
            <w:shd w:val="clear" w:color="auto" w:fill="auto"/>
            <w:vAlign w:val="center"/>
          </w:tcPr>
          <w:p>
            <w:pPr>
              <w:jc w:val="center"/>
              <w:rPr>
                <w:rFonts w:ascii="宋体" w:hAnsi="宋体" w:eastAsia="宋体"/>
              </w:rPr>
            </w:pPr>
          </w:p>
        </w:tc>
        <w:tc>
          <w:tcPr>
            <w:tcW w:w="2905" w:type="pct"/>
            <w:tcBorders>
              <w:top w:val="nil"/>
              <w:left w:val="nil"/>
              <w:bottom w:val="single" w:color="auto" w:sz="4" w:space="0"/>
              <w:right w:val="single" w:color="auto" w:sz="4" w:space="0"/>
            </w:tcBorders>
            <w:shd w:val="clear" w:color="auto" w:fill="auto"/>
            <w:vAlign w:val="center"/>
          </w:tcPr>
          <w:p>
            <w:pPr>
              <w:jc w:val="left"/>
              <w:rPr>
                <w:rFonts w:ascii="宋体" w:hAnsi="宋体" w:eastAsia="宋体"/>
              </w:rPr>
            </w:pPr>
            <w:r>
              <w:rPr>
                <w:rFonts w:hint="eastAsia" w:ascii="宋体" w:hAnsi="宋体" w:eastAsia="宋体" w:cs="宋体"/>
                <w:szCs w:val="21"/>
              </w:rPr>
              <w:t>为保证网络化教学信息安全，投标产品须通过网络安全等级保护二级及以上等保符合测试，投标人提供权威网络安全等保机构</w:t>
            </w:r>
            <w:r>
              <w:rPr>
                <w:rFonts w:ascii="宋体" w:hAnsi="宋体" w:eastAsia="宋体" w:cs="宋体"/>
                <w:szCs w:val="21"/>
              </w:rPr>
              <w:t>“</w:t>
            </w:r>
            <w:r>
              <w:rPr>
                <w:rFonts w:hint="eastAsia" w:ascii="宋体" w:hAnsi="宋体" w:eastAsia="宋体" w:cs="宋体"/>
                <w:szCs w:val="21"/>
              </w:rPr>
              <w:t>操纵模拟台相关设备信息安全测评报告</w:t>
            </w:r>
            <w:r>
              <w:rPr>
                <w:rFonts w:ascii="宋体" w:hAnsi="宋体" w:eastAsia="宋体" w:cs="宋体"/>
                <w:szCs w:val="21"/>
              </w:rPr>
              <w:t>”</w:t>
            </w:r>
            <w:r>
              <w:rPr>
                <w:rFonts w:hint="eastAsia" w:ascii="宋体" w:hAnsi="宋体" w:eastAsia="宋体" w:cs="宋体"/>
                <w:szCs w:val="21"/>
              </w:rPr>
              <w:t>（报告中必须体现应用在二级或以上安全方面的要求，具备应对一般性网络攻击的能力）的得3分，不提供不得分。</w:t>
            </w:r>
          </w:p>
        </w:tc>
        <w:tc>
          <w:tcPr>
            <w:tcW w:w="877" w:type="pct"/>
            <w:vMerge w:val="continue"/>
            <w:tcBorders>
              <w:left w:val="nil"/>
              <w:bottom w:val="single" w:color="auto" w:sz="4" w:space="0"/>
              <w:right w:val="single" w:color="auto" w:sz="4" w:space="0"/>
            </w:tcBorders>
            <w:shd w:val="clear" w:color="auto" w:fill="auto"/>
            <w:vAlign w:val="center"/>
          </w:tcPr>
          <w:p>
            <w:pPr>
              <w:jc w:val="center"/>
              <w:rPr>
                <w:rFonts w:ascii="宋体" w:hAnsi="宋体" w:eastAsia="宋体"/>
              </w:rPr>
            </w:pPr>
          </w:p>
        </w:tc>
      </w:tr>
      <w:tr>
        <w:tblPrEx>
          <w:tblCellMar>
            <w:top w:w="0" w:type="dxa"/>
            <w:left w:w="108" w:type="dxa"/>
            <w:bottom w:w="0" w:type="dxa"/>
            <w:right w:w="108" w:type="dxa"/>
          </w:tblCellMar>
        </w:tblPrEx>
        <w:trPr>
          <w:trHeight w:val="2595" w:hRule="atLeast"/>
        </w:trPr>
        <w:tc>
          <w:tcPr>
            <w:tcW w:w="414" w:type="pct"/>
            <w:vMerge w:val="continue"/>
            <w:tcBorders>
              <w:left w:val="single" w:color="auto" w:sz="4" w:space="0"/>
              <w:bottom w:val="nil"/>
              <w:right w:val="single" w:color="auto" w:sz="4" w:space="0"/>
            </w:tcBorders>
            <w:vAlign w:val="center"/>
          </w:tcPr>
          <w:p>
            <w:pPr>
              <w:rPr>
                <w:rFonts w:ascii="宋体" w:hAnsi="宋体" w:eastAsia="宋体"/>
              </w:rPr>
            </w:pPr>
          </w:p>
        </w:tc>
        <w:tc>
          <w:tcPr>
            <w:tcW w:w="803" w:type="pct"/>
            <w:tcBorders>
              <w:top w:val="single" w:color="auto" w:sz="4" w:space="0"/>
              <w:left w:val="single" w:color="auto" w:sz="4" w:space="0"/>
              <w:bottom w:val="single" w:color="000000" w:sz="4" w:space="0"/>
              <w:right w:val="single" w:color="auto" w:sz="4" w:space="0"/>
            </w:tcBorders>
            <w:shd w:val="clear" w:color="auto" w:fill="auto"/>
            <w:vAlign w:val="center"/>
          </w:tcPr>
          <w:p>
            <w:pPr>
              <w:jc w:val="center"/>
              <w:rPr>
                <w:rFonts w:ascii="宋体" w:hAnsi="宋体" w:eastAsia="宋体"/>
              </w:rPr>
            </w:pPr>
            <w:r>
              <w:rPr>
                <w:rFonts w:hint="eastAsia" w:ascii="宋体" w:hAnsi="宋体" w:eastAsia="宋体"/>
              </w:rPr>
              <w:t>售后服务</w:t>
            </w:r>
          </w:p>
        </w:tc>
        <w:tc>
          <w:tcPr>
            <w:tcW w:w="2905" w:type="pct"/>
            <w:tcBorders>
              <w:top w:val="single" w:color="auto" w:sz="4" w:space="0"/>
              <w:left w:val="nil"/>
              <w:bottom w:val="single" w:color="auto" w:sz="4" w:space="0"/>
              <w:right w:val="single" w:color="auto" w:sz="4" w:space="0"/>
            </w:tcBorders>
            <w:shd w:val="clear" w:color="auto" w:fill="auto"/>
            <w:vAlign w:val="center"/>
          </w:tcPr>
          <w:p>
            <w:pPr>
              <w:rPr>
                <w:rFonts w:ascii="宋体" w:hAnsi="宋体" w:eastAsia="宋体"/>
              </w:rPr>
            </w:pPr>
            <w:r>
              <w:rPr>
                <w:rFonts w:hint="eastAsia" w:ascii="宋体" w:hAnsi="宋体" w:eastAsia="宋体"/>
              </w:rPr>
              <w:t>质保期内售后服务（3分）</w:t>
            </w:r>
          </w:p>
          <w:p>
            <w:pPr>
              <w:rPr>
                <w:rFonts w:ascii="宋体" w:hAnsi="宋体" w:eastAsia="宋体"/>
              </w:rPr>
            </w:pPr>
            <w:r>
              <w:rPr>
                <w:rFonts w:hint="eastAsia" w:ascii="宋体" w:hAnsi="宋体" w:eastAsia="宋体"/>
              </w:rPr>
              <w:t>根据各供应商提供的质保期内售后服务方案，包括但不限于质保期内的售后安排、内容、形式、故障响应时间、到达现场响应时间、应急维修措施等方案。按以下标准进行评审：</w:t>
            </w:r>
          </w:p>
          <w:p>
            <w:pPr>
              <w:rPr>
                <w:rFonts w:ascii="宋体" w:hAnsi="宋体" w:eastAsia="宋体"/>
              </w:rPr>
            </w:pPr>
            <w:r>
              <w:rPr>
                <w:rFonts w:hint="eastAsia" w:ascii="宋体" w:hAnsi="宋体" w:eastAsia="宋体"/>
              </w:rPr>
              <w:t>（1）质保期内售后服务完全满足采购需求的得3分；</w:t>
            </w:r>
          </w:p>
          <w:p>
            <w:pPr>
              <w:rPr>
                <w:rFonts w:ascii="宋体" w:hAnsi="宋体" w:eastAsia="宋体"/>
              </w:rPr>
            </w:pPr>
            <w:r>
              <w:rPr>
                <w:rFonts w:hint="eastAsia" w:ascii="宋体" w:hAnsi="宋体" w:eastAsia="宋体"/>
              </w:rPr>
              <w:t>（2）供货方案中每有一个内容不满足或有瑕疵的扣0.5分，最多扣3分；</w:t>
            </w:r>
          </w:p>
          <w:p>
            <w:pPr>
              <w:rPr>
                <w:rFonts w:ascii="宋体" w:hAnsi="宋体" w:eastAsia="宋体"/>
              </w:rPr>
            </w:pPr>
            <w:r>
              <w:rPr>
                <w:rFonts w:hint="eastAsia" w:ascii="宋体" w:hAnsi="宋体" w:eastAsia="宋体"/>
              </w:rPr>
              <w:t>（3）未提供不得分。</w:t>
            </w:r>
          </w:p>
        </w:tc>
        <w:tc>
          <w:tcPr>
            <w:tcW w:w="877" w:type="pct"/>
            <w:tcBorders>
              <w:top w:val="nil"/>
              <w:left w:val="nil"/>
              <w:bottom w:val="single" w:color="auto" w:sz="4" w:space="0"/>
              <w:right w:val="single" w:color="auto" w:sz="4" w:space="0"/>
            </w:tcBorders>
            <w:shd w:val="clear" w:color="auto" w:fill="auto"/>
            <w:vAlign w:val="center"/>
          </w:tcPr>
          <w:p>
            <w:pPr>
              <w:jc w:val="center"/>
              <w:rPr>
                <w:rFonts w:eastAsia="等线"/>
              </w:rPr>
            </w:pPr>
            <w:r>
              <w:rPr>
                <w:rFonts w:hint="eastAsia" w:eastAsia="等线"/>
              </w:rPr>
              <w:t>3</w:t>
            </w:r>
          </w:p>
        </w:tc>
      </w:tr>
    </w:tbl>
    <w:p>
      <w:pPr>
        <w:pStyle w:val="10"/>
        <w:sectPr>
          <w:pgSz w:w="11906" w:h="16838"/>
          <w:pgMar w:top="1440" w:right="1800" w:bottom="1440" w:left="1800" w:header="851" w:footer="992" w:gutter="0"/>
          <w:cols w:space="425" w:num="1"/>
          <w:docGrid w:type="lines" w:linePitch="312" w:charSpace="0"/>
        </w:sectPr>
      </w:pPr>
    </w:p>
    <w:p>
      <w:pPr>
        <w:pStyle w:val="3"/>
        <w:numPr>
          <w:ilvl w:val="0"/>
          <w:numId w:val="5"/>
        </w:numPr>
        <w:spacing w:line="360" w:lineRule="auto"/>
        <w:rPr>
          <w:rFonts w:ascii="宋体" w:hAnsi="宋体" w:cs="宋体"/>
        </w:rPr>
      </w:pPr>
      <w:bookmarkStart w:id="95" w:name="_Toc2227"/>
      <w:r>
        <w:rPr>
          <w:rFonts w:hint="eastAsia" w:ascii="宋体" w:hAnsi="宋体" w:cs="宋体"/>
        </w:rPr>
        <w:t xml:space="preserve"> 采购需求</w:t>
      </w:r>
      <w:bookmarkEnd w:id="95"/>
    </w:p>
    <w:p>
      <w:pPr>
        <w:spacing w:before="62" w:beforeLines="20" w:after="62" w:afterLines="20" w:line="360" w:lineRule="auto"/>
        <w:outlineLvl w:val="1"/>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一、技术规格要求</w:t>
      </w:r>
    </w:p>
    <w:p>
      <w:pPr>
        <w:pStyle w:val="5"/>
        <w:rPr>
          <w:rFonts w:asciiTheme="minorEastAsia" w:hAnsiTheme="minorEastAsia" w:eastAsiaTheme="minorEastAsia" w:cstheme="minorEastAsia"/>
        </w:rPr>
      </w:pPr>
      <w:r>
        <w:rPr>
          <w:rFonts w:hint="eastAsia" w:asciiTheme="minorEastAsia" w:hAnsiTheme="minorEastAsia" w:eastAsiaTheme="minorEastAsia" w:cstheme="minorEastAsia"/>
        </w:rPr>
        <w:t>1.1系统总体要求</w:t>
      </w:r>
    </w:p>
    <w:p>
      <w:pPr>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列车牵引控制综合应用实训系统应能够按照铁路总公司《操规》、《运规》、《安规》等管理要求，结合各铁路局实际工作流程，采用3D虚拟仿真技术与实际作业设备模拟的方式，实现学员从待乘、出勤、接车、出段、途中运行、终到站、退勤等作业全过程的教学、演练、实训功能，实现机车乘务员一次标准化乘务作业操作、乘务作业呼唤应答、机车运行记录数据分析等任务的实训与考核；通过对列车牵引控制系统主要电路的工作原理教学、电路设计、仿真调试及布线、逻辑控制电路编程及功能检验、起车电路、电气连接实训、PLC 编程和调试实训，电气试验实训和试验过程中故障现象进行排查和处置，综合提高学员的对机车电路控制原理、电路设计能力、PLC编程能力、按标准作业能力和故障分析判断处理能力，同时可培养学员的工作效率、质量意识、安全意识、节能环保意识和职业素养。系统具备自动评价系统可对学生的作业过程进行自动评价。系统应符合行业标准及技术规范，须通过铁路局级科技鉴定或技术评审。该系统主要由HXD3C机车模拟实训系统和列车牵引控制台组成。</w:t>
      </w:r>
    </w:p>
    <w:p>
      <w:pPr>
        <w:pStyle w:val="5"/>
        <w:rPr>
          <w:rFonts w:asciiTheme="minorEastAsia" w:hAnsiTheme="minorEastAsia" w:eastAsiaTheme="minorEastAsia" w:cstheme="minorEastAsia"/>
        </w:rPr>
      </w:pPr>
      <w:r>
        <w:rPr>
          <w:rFonts w:hint="eastAsia" w:asciiTheme="minorEastAsia" w:hAnsiTheme="minorEastAsia" w:eastAsiaTheme="minorEastAsia" w:cstheme="minorEastAsia"/>
        </w:rPr>
        <w:t>1.2技术要求</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1.主要用途：生产性实训教学、技能鉴定以及培训等。</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2.技术要求及主要参数：</w:t>
      </w:r>
    </w:p>
    <w:p>
      <w:pPr>
        <w:spacing w:line="360" w:lineRule="auto"/>
        <w:ind w:firstLine="420" w:firstLineChars="200"/>
        <w:rPr>
          <w:rFonts w:asciiTheme="minorEastAsia" w:hAnsiTheme="minorEastAsia" w:eastAsiaTheme="minorEastAsia" w:cstheme="minorEastAsia"/>
          <w:spacing w:val="2"/>
          <w:szCs w:val="21"/>
        </w:rPr>
      </w:pPr>
      <w:r>
        <w:rPr>
          <w:rFonts w:hint="eastAsia" w:asciiTheme="minorEastAsia" w:hAnsiTheme="minorEastAsia" w:eastAsiaTheme="minorEastAsia" w:cstheme="minorEastAsia"/>
          <w:szCs w:val="21"/>
        </w:rPr>
        <w:t>2.1HXD3C机车模拟实训系统</w:t>
      </w:r>
      <w:r>
        <w:rPr>
          <w:rFonts w:hint="eastAsia" w:asciiTheme="minorEastAsia" w:hAnsiTheme="minorEastAsia" w:eastAsiaTheme="minorEastAsia" w:cstheme="minorEastAsia"/>
          <w:spacing w:val="2"/>
          <w:szCs w:val="21"/>
        </w:rPr>
        <w:t>：应包含司机操纵台（含所有按钮开关、指示灯、牵引控制器、制动控制器、全部仪表及显示屏）、</w:t>
      </w:r>
      <w:r>
        <w:rPr>
          <w:rFonts w:hint="eastAsia" w:asciiTheme="minorEastAsia" w:hAnsiTheme="minorEastAsia" w:eastAsiaTheme="minorEastAsia" w:cstheme="minorEastAsia"/>
          <w:szCs w:val="21"/>
        </w:rPr>
        <w:t>LKJ监控，机车无线列调，机车信号，</w:t>
      </w:r>
      <w:r>
        <w:rPr>
          <w:rFonts w:hint="eastAsia" w:asciiTheme="minorEastAsia" w:hAnsiTheme="minorEastAsia" w:eastAsiaTheme="minorEastAsia" w:cstheme="minorEastAsia"/>
          <w:spacing w:val="2"/>
          <w:szCs w:val="21"/>
        </w:rPr>
        <w:t>55寸曲面实景显示屏及前向视景显示模块，用于乘务员行车操作的实训考核及非正常行车应急故障处置。</w:t>
      </w:r>
    </w:p>
    <w:p>
      <w:pPr>
        <w:widowControl/>
        <w:spacing w:line="360" w:lineRule="auto"/>
        <w:ind w:firstLine="420" w:firstLineChars="200"/>
        <w:jc w:val="left"/>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2.2★投标产品“机车模拟实训台”须通过第三方检验机构检测合格，并出具检验报告。</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2.3列车牵引控制台：包括PLC编程单元、CCBII空气制动控制仿真单元、低压电气控制仿真单元和工业控制计算机。</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2.4PLC编程单元通过采集到的各种传感器和操作单元的反馈信号，发送给PLC模块，由PLC模块编程进行逻辑运算，控制各个执行单元进行列车牵引控制。</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2.5低压电气控制仿真单元模拟列车牵引控制开关，通过与PLC的数据通信控制，完成列车牵引控制模拟仿真。</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2.6制动控制单元模拟制动系统试验所必须的操作塞门或阀门，通过PLC编程进行逻辑控制，实现列车制动控制输出。</w:t>
      </w:r>
    </w:p>
    <w:p>
      <w:pPr>
        <w:pStyle w:val="5"/>
        <w:rPr>
          <w:rFonts w:asciiTheme="minorEastAsia" w:hAnsiTheme="minorEastAsia" w:eastAsiaTheme="minorEastAsia" w:cstheme="minorEastAsia"/>
        </w:rPr>
      </w:pPr>
      <w:r>
        <w:rPr>
          <w:rFonts w:hint="eastAsia" w:asciiTheme="minorEastAsia" w:hAnsiTheme="minorEastAsia" w:eastAsiaTheme="minorEastAsia" w:cstheme="minorEastAsia"/>
        </w:rPr>
        <w:t>1.3基本功能:</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1.列车牵引控制综合应用实训系统软件主要包含出勤实训模块、途中作业实训模块、退勤实训模块、列车牵引控制系统安装与调试实训模块、实训评定作业模块共五个主要功能模块。</w:t>
      </w:r>
    </w:p>
    <w:p>
      <w:pPr>
        <w:spacing w:line="360" w:lineRule="auto"/>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2.★投标人应具有“乘务员标准化作业仿真实训系统”铁路局级技术评审证书。</w:t>
      </w:r>
    </w:p>
    <w:p>
      <w:pPr>
        <w:spacing w:line="360" w:lineRule="auto"/>
        <w:ind w:firstLine="420" w:firstLineChars="200"/>
        <w:rPr>
          <w:rFonts w:asciiTheme="minorEastAsia" w:hAnsiTheme="minorEastAsia" w:eastAsiaTheme="minorEastAsia" w:cstheme="minorEastAsia"/>
          <w:spacing w:val="2"/>
          <w:szCs w:val="21"/>
        </w:rPr>
      </w:pPr>
      <w:r>
        <w:rPr>
          <w:rFonts w:hint="eastAsia" w:asciiTheme="minorEastAsia" w:hAnsiTheme="minorEastAsia" w:eastAsiaTheme="minorEastAsia" w:cstheme="minorEastAsia"/>
          <w:kern w:val="0"/>
          <w:szCs w:val="21"/>
        </w:rPr>
        <w:t>3.★投标人应具有“乘务员一次性作业标准”同类计算机软件著作权证书。</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以铁路总公司机车乘务员作业规范为主线，对包括机车乘务员待乘、出勤、接车、出段、途中运行、终到、交车、入库、退勤在内的全部作业环节单项实训，通过对列车牵引控制系统主要电路的工作原理教学、电气连接实训、PLC编程和调试实训，电气试验实训和试验过程中故障现象进行排查和处置，综合提高学员的对机车电路控制原理、电路设计能力、PLC编程能力、按标准作业能力和故障分析判断处理能力。目的是训练学员的操作能力，达到会操作、晓其理的目标。</w:t>
      </w:r>
    </w:p>
    <w:p>
      <w:pPr>
        <w:pStyle w:val="73"/>
        <w:numPr>
          <w:ilvl w:val="0"/>
          <w:numId w:val="6"/>
        </w:numPr>
        <w:adjustRightInd w:val="0"/>
        <w:snapToGrid w:val="0"/>
        <w:spacing w:line="360" w:lineRule="auto"/>
        <w:ind w:left="420" w:hanging="420" w:hangingChars="200"/>
        <w:rPr>
          <w:rFonts w:asciiTheme="minorEastAsia" w:hAnsiTheme="minorEastAsia" w:eastAsiaTheme="minorEastAsia" w:cstheme="minorEastAsia"/>
        </w:rPr>
      </w:pPr>
      <w:r>
        <w:rPr>
          <w:rFonts w:hint="eastAsia" w:asciiTheme="minorEastAsia" w:hAnsiTheme="minorEastAsia" w:eastAsiaTheme="minorEastAsia" w:cstheme="minorEastAsia"/>
          <w:kern w:val="0"/>
        </w:rPr>
        <w:t>★</w:t>
      </w:r>
      <w:r>
        <w:rPr>
          <w:rFonts w:hint="eastAsia" w:asciiTheme="minorEastAsia" w:hAnsiTheme="minorEastAsia" w:eastAsiaTheme="minorEastAsia" w:cstheme="minorEastAsia"/>
        </w:rPr>
        <w:t>LKJ监控装置的基本操作方法的实训、考试功能；</w:t>
      </w:r>
      <w:r>
        <w:rPr>
          <w:rFonts w:hint="eastAsia" w:asciiTheme="minorEastAsia" w:hAnsiTheme="minorEastAsia" w:eastAsiaTheme="minorEastAsia" w:cstheme="minorEastAsia"/>
          <w:kern w:val="0"/>
        </w:rPr>
        <w:t>投标人应通过铁路局级“LKJ网络化仿真实训系统”技术评审，并获得计算机软件著作权证书。</w:t>
      </w:r>
    </w:p>
    <w:p>
      <w:pPr>
        <w:pStyle w:val="73"/>
        <w:numPr>
          <w:ilvl w:val="0"/>
          <w:numId w:val="6"/>
        </w:numPr>
        <w:adjustRightInd w:val="0"/>
        <w:snapToGrid w:val="0"/>
        <w:spacing w:line="360" w:lineRule="auto"/>
        <w:ind w:left="420" w:hanging="420" w:hangingChars="200"/>
        <w:rPr>
          <w:rFonts w:asciiTheme="minorEastAsia" w:hAnsiTheme="minorEastAsia" w:eastAsiaTheme="minorEastAsia" w:cstheme="minorEastAsia"/>
        </w:rPr>
      </w:pPr>
      <w:r>
        <w:rPr>
          <w:rFonts w:hint="eastAsia" w:asciiTheme="minorEastAsia" w:hAnsiTheme="minorEastAsia" w:eastAsiaTheme="minorEastAsia" w:cstheme="minorEastAsia"/>
        </w:rPr>
        <w:t>非正常情况下的行车办法（与LKJ监控装置控制模式联动）；</w:t>
      </w:r>
    </w:p>
    <w:p>
      <w:pPr>
        <w:pStyle w:val="73"/>
        <w:numPr>
          <w:ilvl w:val="0"/>
          <w:numId w:val="6"/>
        </w:numPr>
        <w:adjustRightInd w:val="0"/>
        <w:snapToGrid w:val="0"/>
        <w:spacing w:line="360" w:lineRule="auto"/>
        <w:ind w:left="420" w:hanging="420" w:hangingChars="200"/>
        <w:rPr>
          <w:rFonts w:asciiTheme="minorEastAsia" w:hAnsiTheme="minorEastAsia" w:eastAsiaTheme="minorEastAsia" w:cstheme="minorEastAsia"/>
        </w:rPr>
      </w:pPr>
      <w:r>
        <w:rPr>
          <w:rFonts w:hint="eastAsia" w:asciiTheme="minorEastAsia" w:hAnsiTheme="minorEastAsia" w:eastAsiaTheme="minorEastAsia" w:cstheme="minorEastAsia"/>
        </w:rPr>
        <w:t>司机报单、司机单子手册填报功能；</w:t>
      </w:r>
    </w:p>
    <w:p>
      <w:pPr>
        <w:pStyle w:val="73"/>
        <w:numPr>
          <w:ilvl w:val="0"/>
          <w:numId w:val="6"/>
        </w:numPr>
        <w:adjustRightInd w:val="0"/>
        <w:snapToGrid w:val="0"/>
        <w:spacing w:line="360" w:lineRule="auto"/>
        <w:ind w:left="420" w:hanging="420" w:hangingChars="200"/>
        <w:rPr>
          <w:rFonts w:asciiTheme="minorEastAsia" w:hAnsiTheme="minorEastAsia" w:eastAsiaTheme="minorEastAsia" w:cstheme="minorEastAsia"/>
        </w:rPr>
      </w:pPr>
      <w:r>
        <w:rPr>
          <w:rFonts w:hint="eastAsia" w:asciiTheme="minorEastAsia" w:hAnsiTheme="minorEastAsia" w:eastAsiaTheme="minorEastAsia" w:cstheme="minorEastAsia"/>
        </w:rPr>
        <w:t>具备铁路行车信号的显示方式，列车运行限制速度及允许速度，牵引与制动调速的能力实训功能（与LKJ监控装置进行联动）；</w:t>
      </w:r>
    </w:p>
    <w:p>
      <w:pPr>
        <w:pStyle w:val="73"/>
        <w:numPr>
          <w:ilvl w:val="0"/>
          <w:numId w:val="6"/>
        </w:numPr>
        <w:adjustRightInd w:val="0"/>
        <w:snapToGrid w:val="0"/>
        <w:spacing w:line="360" w:lineRule="auto"/>
        <w:ind w:left="420" w:hanging="420" w:hangingChars="200"/>
        <w:rPr>
          <w:rFonts w:asciiTheme="minorEastAsia" w:hAnsiTheme="minorEastAsia" w:eastAsiaTheme="minorEastAsia" w:cstheme="minorEastAsia"/>
        </w:rPr>
      </w:pPr>
      <w:r>
        <w:rPr>
          <w:rFonts w:hint="eastAsia" w:asciiTheme="minorEastAsia" w:hAnsiTheme="minorEastAsia" w:eastAsiaTheme="minorEastAsia" w:cstheme="minorEastAsia"/>
        </w:rPr>
        <w:t>★投标人LKJ临时数据辅助校核模块须通过铁路总公司技术评审。</w:t>
      </w:r>
    </w:p>
    <w:p>
      <w:pPr>
        <w:pStyle w:val="73"/>
        <w:numPr>
          <w:ilvl w:val="0"/>
          <w:numId w:val="6"/>
        </w:numPr>
        <w:adjustRightInd w:val="0"/>
        <w:snapToGrid w:val="0"/>
        <w:spacing w:line="360" w:lineRule="auto"/>
        <w:ind w:left="420" w:hanging="420" w:hangingChars="200"/>
        <w:rPr>
          <w:rFonts w:asciiTheme="minorEastAsia" w:hAnsiTheme="minorEastAsia" w:eastAsiaTheme="minorEastAsia" w:cstheme="minorEastAsia"/>
        </w:rPr>
      </w:pPr>
      <w:r>
        <w:rPr>
          <w:rFonts w:hint="eastAsia" w:asciiTheme="minorEastAsia" w:hAnsiTheme="minorEastAsia" w:eastAsiaTheme="minorEastAsia" w:cstheme="minorEastAsia"/>
          <w:kern w:val="0"/>
        </w:rPr>
        <w:t>★</w:t>
      </w:r>
      <w:r>
        <w:rPr>
          <w:rFonts w:hint="eastAsia" w:asciiTheme="minorEastAsia" w:hAnsiTheme="minorEastAsia" w:eastAsiaTheme="minorEastAsia" w:cstheme="minorEastAsia"/>
        </w:rPr>
        <w:t>6A音视频显示终端功能:通过6A系统音视频显示终端可以查询6A各系统监测信息，如系统设备状态、监测数据、提示信息和报警信息等。通过仿真6A音视频显示终端可以实现对人机交互操作和6A各系统报警信息处理作业标准的教学。</w:t>
      </w:r>
    </w:p>
    <w:p>
      <w:pPr>
        <w:pStyle w:val="73"/>
        <w:adjustRightInd w:val="0"/>
        <w:snapToGrid w:val="0"/>
        <w:spacing w:line="360" w:lineRule="auto"/>
        <w:ind w:left="426" w:firstLine="0" w:firstLineChars="0"/>
        <w:rPr>
          <w:rFonts w:asciiTheme="minorEastAsia" w:hAnsiTheme="minorEastAsia" w:eastAsiaTheme="minorEastAsia" w:cstheme="minorEastAsia"/>
        </w:rPr>
      </w:pPr>
      <w:r>
        <w:rPr>
          <w:rFonts w:hint="eastAsia" w:asciiTheme="minorEastAsia" w:hAnsiTheme="minorEastAsia" w:eastAsiaTheme="minorEastAsia" w:cstheme="minorEastAsia"/>
          <w:kern w:val="0"/>
        </w:rPr>
        <w:t>投标人须提供6A相关模块的CRCC认证。</w:t>
      </w:r>
    </w:p>
    <w:p>
      <w:pPr>
        <w:pStyle w:val="73"/>
        <w:numPr>
          <w:ilvl w:val="0"/>
          <w:numId w:val="6"/>
        </w:numPr>
        <w:adjustRightInd w:val="0"/>
        <w:snapToGrid w:val="0"/>
        <w:spacing w:line="360" w:lineRule="auto"/>
        <w:ind w:left="420" w:hanging="420" w:hangingChars="200"/>
        <w:rPr>
          <w:rFonts w:asciiTheme="minorEastAsia" w:hAnsiTheme="minorEastAsia" w:eastAsiaTheme="minorEastAsia" w:cstheme="minorEastAsia"/>
        </w:rPr>
      </w:pPr>
      <w:r>
        <w:rPr>
          <w:rFonts w:hint="eastAsia" w:asciiTheme="minorEastAsia" w:hAnsiTheme="minorEastAsia" w:eastAsiaTheme="minorEastAsia" w:cstheme="minorEastAsia"/>
        </w:rPr>
        <w:t>故障处置练习与实训功能:采用虚拟仿真技术，显示机车顶部，受电弓，走行部，机车前面板，司机室，机械间等在内的主要部件的外观，规格，操作等进行模拟和展示，可实现常见故障处置练习与实训功能。</w:t>
      </w:r>
    </w:p>
    <w:p>
      <w:pPr>
        <w:pStyle w:val="73"/>
        <w:adjustRightInd w:val="0"/>
        <w:snapToGrid w:val="0"/>
        <w:spacing w:line="360" w:lineRule="auto"/>
        <w:ind w:firstLine="0" w:firstLineChars="0"/>
        <w:rPr>
          <w:rFonts w:asciiTheme="minorEastAsia" w:hAnsiTheme="minorEastAsia" w:eastAsiaTheme="minorEastAsia" w:cstheme="minorEastAsia"/>
        </w:rPr>
      </w:pPr>
      <w:r>
        <w:rPr>
          <w:rFonts w:hint="eastAsia" w:asciiTheme="minorEastAsia" w:hAnsiTheme="minorEastAsia" w:eastAsiaTheme="minorEastAsia" w:cstheme="minorEastAsia"/>
        </w:rPr>
        <w:t xml:space="preserve"> (8)电路设计、安装、调试实训功能：</w:t>
      </w:r>
    </w:p>
    <w:p>
      <w:pPr>
        <w:pStyle w:val="73"/>
        <w:adjustRightInd w:val="0"/>
        <w:snapToGrid w:val="0"/>
        <w:spacing w:line="360" w:lineRule="auto"/>
        <w:ind w:left="482"/>
        <w:rPr>
          <w:rFonts w:asciiTheme="minorEastAsia" w:hAnsiTheme="minorEastAsia" w:eastAsiaTheme="minorEastAsia" w:cstheme="minorEastAsia"/>
        </w:rPr>
      </w:pPr>
      <w:r>
        <w:rPr>
          <w:rFonts w:hint="eastAsia" w:asciiTheme="minorEastAsia" w:hAnsiTheme="minorEastAsia" w:eastAsiaTheme="minorEastAsia" w:cstheme="minorEastAsia"/>
        </w:rPr>
        <w:t>根据机车受电弓升/降弓控制电路、主断控制电路、牵引和制动控制电路等主要电路模块的知识，根据实训试题要求，通过列车牵引控制台电路绘制软件绘制出一个控制电路的电路原理图（如机车升、降弓控制），并进行虚拟仿真面板进行电路调试，调试完成后按照设计的电路打印与制作接线表，在列车牵引控制台上进行设备的安装、布线、调试。</w:t>
      </w:r>
    </w:p>
    <w:p>
      <w:pPr>
        <w:pStyle w:val="73"/>
        <w:adjustRightInd w:val="0"/>
        <w:snapToGrid w:val="0"/>
        <w:spacing w:line="360" w:lineRule="auto"/>
        <w:ind w:firstLine="0" w:firstLineChars="0"/>
        <w:rPr>
          <w:rFonts w:asciiTheme="minorEastAsia" w:hAnsiTheme="minorEastAsia" w:eastAsiaTheme="minorEastAsia" w:cstheme="minorEastAsia"/>
        </w:rPr>
      </w:pPr>
      <w:r>
        <w:rPr>
          <w:rFonts w:hint="eastAsia" w:asciiTheme="minorEastAsia" w:hAnsiTheme="minorEastAsia" w:eastAsiaTheme="minorEastAsia" w:cstheme="minorEastAsia"/>
        </w:rPr>
        <w:t>(9)PLC控制逻辑编程实训功能：</w:t>
      </w:r>
    </w:p>
    <w:p>
      <w:pPr>
        <w:pStyle w:val="73"/>
        <w:adjustRightInd w:val="0"/>
        <w:snapToGrid w:val="0"/>
        <w:spacing w:line="360" w:lineRule="auto"/>
        <w:ind w:left="482"/>
        <w:rPr>
          <w:rFonts w:asciiTheme="minorEastAsia" w:hAnsiTheme="minorEastAsia" w:eastAsiaTheme="minorEastAsia" w:cstheme="minorEastAsia"/>
        </w:rPr>
      </w:pPr>
      <w:r>
        <w:rPr>
          <w:rFonts w:hint="eastAsia" w:asciiTheme="minorEastAsia" w:hAnsiTheme="minorEastAsia" w:eastAsiaTheme="minorEastAsia" w:cstheme="minorEastAsia"/>
        </w:rPr>
        <w:t>通过列车牵引控制台的PLC编程控制单元，根据实训任务书中的题目要求完成机车受电弓升/降弓控制电路和主断控制电路、牵引和制动控制电路中部分控制逻辑编程试题。</w:t>
      </w:r>
    </w:p>
    <w:p>
      <w:pPr>
        <w:pStyle w:val="73"/>
        <w:adjustRightInd w:val="0"/>
        <w:snapToGrid w:val="0"/>
        <w:spacing w:line="360" w:lineRule="auto"/>
        <w:ind w:firstLine="0" w:firstLineChars="0"/>
        <w:rPr>
          <w:rFonts w:asciiTheme="minorEastAsia" w:hAnsiTheme="minorEastAsia" w:eastAsiaTheme="minorEastAsia" w:cstheme="minorEastAsia"/>
        </w:rPr>
      </w:pPr>
      <w:r>
        <w:rPr>
          <w:rFonts w:hint="eastAsia" w:asciiTheme="minorEastAsia" w:hAnsiTheme="minorEastAsia" w:eastAsiaTheme="minorEastAsia" w:cstheme="minorEastAsia"/>
        </w:rPr>
        <w:t>(10) 功能试验及故障排查</w:t>
      </w:r>
    </w:p>
    <w:p>
      <w:pPr>
        <w:pStyle w:val="73"/>
        <w:adjustRightInd w:val="0"/>
        <w:snapToGrid w:val="0"/>
        <w:spacing w:line="360" w:lineRule="auto"/>
        <w:ind w:left="482"/>
        <w:rPr>
          <w:rFonts w:asciiTheme="minorEastAsia" w:hAnsiTheme="minorEastAsia" w:eastAsiaTheme="minorEastAsia" w:cstheme="minorEastAsia"/>
        </w:rPr>
      </w:pPr>
      <w:r>
        <w:rPr>
          <w:rFonts w:hint="eastAsia" w:asciiTheme="minorEastAsia" w:hAnsiTheme="minorEastAsia" w:eastAsiaTheme="minorEastAsia" w:cstheme="minorEastAsia"/>
        </w:rPr>
        <w:t>通过列车牵引控制台按照系统提示依次完成以下功能试验：</w:t>
      </w:r>
    </w:p>
    <w:p>
      <w:pPr>
        <w:pStyle w:val="73"/>
        <w:adjustRightInd w:val="0"/>
        <w:snapToGrid w:val="0"/>
        <w:spacing w:line="360" w:lineRule="auto"/>
        <w:ind w:left="482"/>
        <w:rPr>
          <w:rFonts w:asciiTheme="minorEastAsia" w:hAnsiTheme="minorEastAsia" w:eastAsiaTheme="minorEastAsia" w:cstheme="minorEastAsia"/>
        </w:rPr>
      </w:pPr>
      <w:r>
        <w:rPr>
          <w:rFonts w:hint="eastAsia" w:asciiTheme="minorEastAsia" w:hAnsiTheme="minorEastAsia" w:eastAsiaTheme="minorEastAsia" w:cstheme="minorEastAsia"/>
        </w:rPr>
        <w:t>1)受电弓试验</w:t>
      </w:r>
    </w:p>
    <w:p>
      <w:pPr>
        <w:pStyle w:val="73"/>
        <w:adjustRightInd w:val="0"/>
        <w:snapToGrid w:val="0"/>
        <w:spacing w:line="360" w:lineRule="auto"/>
        <w:ind w:left="482"/>
        <w:rPr>
          <w:rFonts w:asciiTheme="minorEastAsia" w:hAnsiTheme="minorEastAsia" w:eastAsiaTheme="minorEastAsia" w:cstheme="minorEastAsia"/>
        </w:rPr>
      </w:pPr>
      <w:r>
        <w:rPr>
          <w:rFonts w:hint="eastAsia" w:asciiTheme="minorEastAsia" w:hAnsiTheme="minorEastAsia" w:eastAsiaTheme="minorEastAsia" w:cstheme="minorEastAsia"/>
        </w:rPr>
        <w:t xml:space="preserve"> 插入电钥匙，旋转至开位、TCMS显示屏显示操作端，将扳键扳至“前”位，网压显示正常，TCMS显示屏能够前受电弓升起，将受电弓扳至“0”位，前受电弓降落。</w:t>
      </w:r>
    </w:p>
    <w:p>
      <w:pPr>
        <w:pStyle w:val="73"/>
        <w:adjustRightInd w:val="0"/>
        <w:snapToGrid w:val="0"/>
        <w:spacing w:line="360" w:lineRule="auto"/>
        <w:ind w:left="482"/>
        <w:rPr>
          <w:rFonts w:asciiTheme="minorEastAsia" w:hAnsiTheme="minorEastAsia" w:eastAsiaTheme="minorEastAsia" w:cstheme="minorEastAsia"/>
        </w:rPr>
      </w:pPr>
      <w:r>
        <w:rPr>
          <w:rFonts w:hint="eastAsia" w:asciiTheme="minorEastAsia" w:hAnsiTheme="minorEastAsia" w:eastAsiaTheme="minorEastAsia" w:cstheme="minorEastAsia"/>
        </w:rPr>
        <w:t>2)主断路器试验</w:t>
      </w:r>
    </w:p>
    <w:p>
      <w:pPr>
        <w:pStyle w:val="73"/>
        <w:adjustRightInd w:val="0"/>
        <w:snapToGrid w:val="0"/>
        <w:spacing w:line="360" w:lineRule="auto"/>
        <w:ind w:left="482"/>
        <w:rPr>
          <w:rFonts w:asciiTheme="minorEastAsia" w:hAnsiTheme="minorEastAsia" w:eastAsiaTheme="minorEastAsia" w:cstheme="minorEastAsia"/>
        </w:rPr>
      </w:pPr>
      <w:r>
        <w:rPr>
          <w:rFonts w:hint="eastAsia" w:asciiTheme="minorEastAsia" w:hAnsiTheme="minorEastAsia" w:eastAsiaTheme="minorEastAsia" w:cstheme="minorEastAsia"/>
        </w:rPr>
        <w:t xml:space="preserve"> 将主断路器扳键开关扳向“合”位，状态指示灯“主断”，“欠压”灯灭，TCMS屏显示“主断合”，控制电压显示110V以上。</w:t>
      </w:r>
    </w:p>
    <w:p>
      <w:pPr>
        <w:pStyle w:val="73"/>
        <w:adjustRightInd w:val="0"/>
        <w:snapToGrid w:val="0"/>
        <w:spacing w:line="360" w:lineRule="auto"/>
        <w:ind w:left="482"/>
        <w:rPr>
          <w:rFonts w:asciiTheme="minorEastAsia" w:hAnsiTheme="minorEastAsia" w:eastAsiaTheme="minorEastAsia" w:cstheme="minorEastAsia"/>
        </w:rPr>
      </w:pPr>
      <w:r>
        <w:rPr>
          <w:rFonts w:hint="eastAsia" w:asciiTheme="minorEastAsia" w:hAnsiTheme="minorEastAsia" w:eastAsiaTheme="minorEastAsia" w:cstheme="minorEastAsia"/>
        </w:rPr>
        <w:t>3)牵引变流器控制试验</w:t>
      </w:r>
    </w:p>
    <w:p>
      <w:pPr>
        <w:pStyle w:val="73"/>
        <w:adjustRightInd w:val="0"/>
        <w:snapToGrid w:val="0"/>
        <w:spacing w:line="360" w:lineRule="auto"/>
        <w:ind w:left="482"/>
        <w:rPr>
          <w:rFonts w:asciiTheme="minorEastAsia" w:hAnsiTheme="minorEastAsia" w:eastAsiaTheme="minorEastAsia" w:cstheme="minorEastAsia"/>
        </w:rPr>
      </w:pPr>
      <w:r>
        <w:rPr>
          <w:rFonts w:hint="eastAsia" w:asciiTheme="minorEastAsia" w:hAnsiTheme="minorEastAsia" w:eastAsiaTheme="minorEastAsia" w:cstheme="minorEastAsia"/>
        </w:rPr>
        <w:t>断开主断器、降下受电弓，将自动开关断开，转至“试验”位，通过TCMS显示屏，观察主变流器画面，将手柄置“前”或“后”位，将调速手柄由牵引1级逐渐向13级转换，确认牵引制动画面显示牵引状态输出力矩与级位发生相应变化。</w:t>
      </w:r>
    </w:p>
    <w:p>
      <w:pPr>
        <w:pStyle w:val="73"/>
        <w:adjustRightInd w:val="0"/>
        <w:snapToGrid w:val="0"/>
        <w:spacing w:line="360" w:lineRule="auto"/>
        <w:ind w:left="482"/>
        <w:rPr>
          <w:rFonts w:asciiTheme="minorEastAsia" w:hAnsiTheme="minorEastAsia" w:eastAsiaTheme="minorEastAsia" w:cstheme="minorEastAsia"/>
        </w:rPr>
      </w:pPr>
      <w:r>
        <w:rPr>
          <w:rFonts w:hint="eastAsia" w:asciiTheme="minorEastAsia" w:hAnsiTheme="minorEastAsia" w:eastAsiaTheme="minorEastAsia" w:cstheme="minorEastAsia"/>
        </w:rPr>
        <w:t>4)制动试验</w:t>
      </w:r>
    </w:p>
    <w:p>
      <w:pPr>
        <w:pStyle w:val="73"/>
        <w:adjustRightInd w:val="0"/>
        <w:snapToGrid w:val="0"/>
        <w:spacing w:line="360" w:lineRule="auto"/>
        <w:ind w:left="482"/>
        <w:rPr>
          <w:rFonts w:asciiTheme="minorEastAsia" w:hAnsiTheme="minorEastAsia" w:eastAsiaTheme="minorEastAsia" w:cstheme="minorEastAsia"/>
        </w:rPr>
      </w:pPr>
      <w:r>
        <w:rPr>
          <w:rFonts w:hint="eastAsia" w:asciiTheme="minorEastAsia" w:hAnsiTheme="minorEastAsia" w:eastAsiaTheme="minorEastAsia" w:cstheme="minorEastAsia"/>
        </w:rPr>
        <w:t>4.1自动制动手柄置“初制”位， LCDM制动显示屏能够显示均衡风缸、列车管减压至40~60kPa, 制动缸压力升至70~110kPa.</w:t>
      </w:r>
    </w:p>
    <w:p>
      <w:pPr>
        <w:pStyle w:val="73"/>
        <w:adjustRightInd w:val="0"/>
        <w:snapToGrid w:val="0"/>
        <w:spacing w:line="360" w:lineRule="auto"/>
        <w:ind w:left="482"/>
        <w:rPr>
          <w:rFonts w:asciiTheme="minorEastAsia" w:hAnsiTheme="minorEastAsia" w:eastAsiaTheme="minorEastAsia" w:cstheme="minorEastAsia"/>
        </w:rPr>
      </w:pPr>
      <w:r>
        <w:rPr>
          <w:rFonts w:hint="eastAsia" w:asciiTheme="minorEastAsia" w:hAnsiTheme="minorEastAsia" w:eastAsiaTheme="minorEastAsia" w:cstheme="minorEastAsia"/>
        </w:rPr>
        <w:t>4.2自动制动手柄置“全制”位，LCDM制动显示屏能够显示均衡风缸、列车管减压140~180kPa, 制动缸压力升至360~420kPa.</w:t>
      </w:r>
    </w:p>
    <w:p>
      <w:pPr>
        <w:pStyle w:val="73"/>
        <w:adjustRightInd w:val="0"/>
        <w:snapToGrid w:val="0"/>
        <w:spacing w:line="360" w:lineRule="auto"/>
        <w:ind w:left="482"/>
        <w:rPr>
          <w:rFonts w:asciiTheme="minorEastAsia" w:hAnsiTheme="minorEastAsia" w:eastAsiaTheme="minorEastAsia" w:cstheme="minorEastAsia"/>
        </w:rPr>
      </w:pPr>
      <w:r>
        <w:rPr>
          <w:rFonts w:hint="eastAsia" w:asciiTheme="minorEastAsia" w:hAnsiTheme="minorEastAsia" w:eastAsiaTheme="minorEastAsia" w:cstheme="minorEastAsia"/>
        </w:rPr>
        <w:t>4.3自动制动手柄置“抑制”位，制动显示屏能够显示均衡风缸、列车管、制动缸压力保持不变。</w:t>
      </w:r>
    </w:p>
    <w:p>
      <w:pPr>
        <w:pStyle w:val="73"/>
        <w:adjustRightInd w:val="0"/>
        <w:snapToGrid w:val="0"/>
        <w:spacing w:line="360" w:lineRule="auto"/>
        <w:ind w:left="482"/>
        <w:rPr>
          <w:rFonts w:asciiTheme="minorEastAsia" w:hAnsiTheme="minorEastAsia" w:eastAsiaTheme="minorEastAsia" w:cstheme="minorEastAsia"/>
        </w:rPr>
      </w:pPr>
      <w:r>
        <w:rPr>
          <w:rFonts w:hint="eastAsia" w:asciiTheme="minorEastAsia" w:hAnsiTheme="minorEastAsia" w:eastAsiaTheme="minorEastAsia" w:cstheme="minorEastAsia"/>
        </w:rPr>
        <w:t>4.4侧压“单独制动手柄”手柄，制动缸风压下降至0kPa,松开单独制动手柄，制动缸风压不变。</w:t>
      </w:r>
    </w:p>
    <w:p>
      <w:pPr>
        <w:pStyle w:val="73"/>
        <w:adjustRightInd w:val="0"/>
        <w:snapToGrid w:val="0"/>
        <w:spacing w:line="360" w:lineRule="auto"/>
        <w:ind w:left="482"/>
        <w:rPr>
          <w:rFonts w:asciiTheme="minorEastAsia" w:hAnsiTheme="minorEastAsia" w:eastAsiaTheme="minorEastAsia" w:cstheme="minorEastAsia"/>
        </w:rPr>
      </w:pPr>
      <w:r>
        <w:rPr>
          <w:rFonts w:hint="eastAsia" w:asciiTheme="minorEastAsia" w:hAnsiTheme="minorEastAsia" w:eastAsiaTheme="minorEastAsia" w:cstheme="minorEastAsia"/>
        </w:rPr>
        <w:t>4.5自阀手柄移至“重联”位，均衡风缸降至0，列车管减压至70kPa,制动缸风压上升至450kPa。</w:t>
      </w:r>
    </w:p>
    <w:p>
      <w:pPr>
        <w:pStyle w:val="73"/>
        <w:adjustRightInd w:val="0"/>
        <w:snapToGrid w:val="0"/>
        <w:spacing w:line="360" w:lineRule="auto"/>
        <w:ind w:left="482"/>
        <w:rPr>
          <w:rFonts w:asciiTheme="minorEastAsia" w:hAnsiTheme="minorEastAsia" w:eastAsiaTheme="minorEastAsia" w:cstheme="minorEastAsia"/>
        </w:rPr>
      </w:pPr>
      <w:r>
        <w:rPr>
          <w:rFonts w:hint="eastAsia" w:asciiTheme="minorEastAsia" w:hAnsiTheme="minorEastAsia" w:eastAsiaTheme="minorEastAsia" w:cstheme="minorEastAsia"/>
        </w:rPr>
        <w:t>4.6自动制动手柄移至“运转”位，LCDM制动显示屏显示均衡风缸、列车管恢复至600kPa,制动缸风压降至0kPa。</w:t>
      </w:r>
    </w:p>
    <w:p>
      <w:pPr>
        <w:pStyle w:val="73"/>
        <w:adjustRightInd w:val="0"/>
        <w:snapToGrid w:val="0"/>
        <w:spacing w:line="360" w:lineRule="auto"/>
        <w:ind w:firstLine="0" w:firstLineChars="0"/>
        <w:rPr>
          <w:rFonts w:asciiTheme="minorEastAsia" w:hAnsiTheme="minorEastAsia" w:eastAsiaTheme="minorEastAsia" w:cstheme="minorEastAsia"/>
        </w:rPr>
      </w:pPr>
      <w:r>
        <w:rPr>
          <w:rFonts w:hint="eastAsia" w:asciiTheme="minorEastAsia" w:hAnsiTheme="minorEastAsia" w:eastAsiaTheme="minorEastAsia" w:cstheme="minorEastAsia"/>
        </w:rPr>
        <w:t>（11）考核评价功能</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评价系统可自动地对受训者的操纵行为进行客观评价，能够随意组合考核项目，考试成绩自动加权计算；主要包括以下内容：</w:t>
      </w:r>
    </w:p>
    <w:p>
      <w:pPr>
        <w:numPr>
          <w:ilvl w:val="0"/>
          <w:numId w:val="7"/>
        </w:numPr>
        <w:spacing w:line="360" w:lineRule="auto"/>
        <w:ind w:left="709" w:hanging="709"/>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机车乘务员出退勤作业流程；</w:t>
      </w:r>
    </w:p>
    <w:p>
      <w:pPr>
        <w:numPr>
          <w:ilvl w:val="0"/>
          <w:numId w:val="7"/>
        </w:numPr>
        <w:spacing w:line="360" w:lineRule="auto"/>
        <w:ind w:left="709" w:hanging="709"/>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LKJ监控装置基本操作；</w:t>
      </w:r>
    </w:p>
    <w:p>
      <w:pPr>
        <w:numPr>
          <w:ilvl w:val="0"/>
          <w:numId w:val="7"/>
        </w:numPr>
        <w:spacing w:line="360" w:lineRule="auto"/>
        <w:ind w:left="709" w:hanging="709"/>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行车速度按图运行，制动机操作，正确操纵机车正点运行;</w:t>
      </w:r>
      <w:r>
        <w:rPr>
          <w:rFonts w:hint="eastAsia" w:asciiTheme="minorEastAsia" w:hAnsiTheme="minorEastAsia" w:eastAsiaTheme="minorEastAsia" w:cstheme="minorEastAsia"/>
          <w:szCs w:val="21"/>
        </w:rPr>
        <w:tab/>
      </w:r>
    </w:p>
    <w:p>
      <w:pPr>
        <w:numPr>
          <w:ilvl w:val="0"/>
          <w:numId w:val="7"/>
        </w:numPr>
        <w:spacing w:line="360" w:lineRule="auto"/>
        <w:ind w:left="709" w:hanging="709"/>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过分相操作,按规定升降弓，确认主断路器状态；</w:t>
      </w:r>
    </w:p>
    <w:p>
      <w:pPr>
        <w:numPr>
          <w:ilvl w:val="0"/>
          <w:numId w:val="7"/>
        </w:numPr>
        <w:spacing w:line="360" w:lineRule="auto"/>
        <w:ind w:left="709" w:hanging="709"/>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临时和有计划的电话闭塞、绿色凭证、特定引导进站等非正常情况下的LKJ监控装置操作和行车办法；</w:t>
      </w:r>
    </w:p>
    <w:p>
      <w:pPr>
        <w:numPr>
          <w:ilvl w:val="0"/>
          <w:numId w:val="7"/>
        </w:numPr>
        <w:spacing w:line="360" w:lineRule="auto"/>
        <w:ind w:left="709" w:hanging="709"/>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列车牵引控制实训系统电路设计、安装、调试实训过程及判断；</w:t>
      </w:r>
    </w:p>
    <w:p>
      <w:pPr>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1.4视频演示要求：</w:t>
      </w:r>
    </w:p>
    <w:p>
      <w:pPr>
        <w:spacing w:line="360" w:lineRule="auto"/>
        <w:ind w:firstLine="422" w:firstLineChars="20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投标人应提供涵盖以下功能要求的演示视频，时间不超过十分钟：</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系统主要包含出勤实训、途中作业实训、退勤实训、列车牵引控制系统安装与调试实训、实训评定作业共五个主要功能模块，对机车乘务员待乘、出勤、接车、出段、途中运行、终到、交车、入库、退勤、电路设计、安装、调试在内的全部作业环节单项实训。</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（1）乘务员出乘实训模块 </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能够根据机务段实际运行数据设定、出乘情景（担当车次、区段、天气情况、机车情况），安排乘务计划，通过出勤调度员与培训学员进行交互和作业办理，结合饮酒检测仪、IC卡验卡装置等出勤作业设备，以真实机务段派班室出勤情景按标准出乘作业流程对学员进行教学情景培训和演练评定。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（2）乘务员途中运行实训模块</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根据设定乘务任务，使用真实行车线路数据、运用区段信息、车次信息按机务段真实的派班室工作环境按乘务员一次作业标准对学员培训和作业演练。 </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用LKJ实训台结合计算机虚拟仿真技术，按照中国铁路总公司《铁路技术管理规程》、《操规》、《行规》、《机车乘务员非正常情况行车应急处置办法》及其他相关要求，以三维立体场景交互的方式，按照标准化作业实现接车、出入库、LKJ基本操作、途中运行等全部流程的培训和演练，为学员真实再现列车运行过程中的各种场景，主要包括：</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实景乘务任务行车演练</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用3D视景效果与LKJ运行记录数据相结合，实现运行过程的线路环境、天气环境、信号条件、突发事件等仿真操作，三维场景模型和LKJ监控数据保持一致，通过按照真实乘务员计划和运行时刻表，以情景化的方式，演练一次乘务运输任务，实现基本行车操纵演练和CIR电台、LKJ监控装置的基本操作演练。</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非正常行车应急处置培训功能</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系统应按照中国铁路总公司《铁路技术管理规程》、《机车乘务员非正常情况行车应急处置办法》及其他相关要求，模拟各种行车条件，培训非正常情况下的行车办法和监控装置的作业操作方法。</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（3）乘务员退勤实训模块</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能够根据乘务员途中运行实际作业数据，进行退勤作业办理，机务段实际运行数据设定与退勤值班员交互和作业办理，结合真实退勤作业设备，对做作业数据进行分析，给出相应分析意见。</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（4）电路设计、安装、调试实训模块</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实训主要涉及机车受电弓升/降弓控制电路和主断控制电路、牵引和制动控制电路等主要机车控制电路，根据控制原理进行电路设计、设备的组装调试及验证、PLC编程、以及故障排查处理。</w:t>
      </w:r>
    </w:p>
    <w:p>
      <w:pPr>
        <w:pStyle w:val="5"/>
        <w:rPr>
          <w:rFonts w:asciiTheme="minorEastAsia" w:hAnsiTheme="minorEastAsia" w:eastAsiaTheme="minorEastAsia" w:cstheme="minorEastAsia"/>
        </w:rPr>
      </w:pPr>
      <w:r>
        <w:rPr>
          <w:rFonts w:hint="eastAsia" w:asciiTheme="minorEastAsia" w:hAnsiTheme="minorEastAsia" w:eastAsiaTheme="minorEastAsia" w:cstheme="minorEastAsia"/>
        </w:rPr>
        <w:t>二、技术规格及清单</w:t>
      </w:r>
    </w:p>
    <w:tbl>
      <w:tblPr>
        <w:tblStyle w:val="29"/>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15" w:type="dxa"/>
          <w:left w:w="15" w:type="dxa"/>
          <w:bottom w:w="15" w:type="dxa"/>
          <w:right w:w="15" w:type="dxa"/>
        </w:tblCellMar>
      </w:tblPr>
      <w:tblGrid>
        <w:gridCol w:w="583"/>
        <w:gridCol w:w="1419"/>
        <w:gridCol w:w="5669"/>
        <w:gridCol w:w="568"/>
        <w:gridCol w:w="578"/>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75" w:hRule="atLeast"/>
        </w:trPr>
        <w:tc>
          <w:tcPr>
            <w:tcW w:w="330" w:type="pct"/>
            <w:noWrap/>
            <w:vAlign w:val="center"/>
          </w:tcPr>
          <w:p>
            <w:pPr>
              <w:widowControl/>
              <w:spacing w:line="360" w:lineRule="auto"/>
              <w:jc w:val="center"/>
              <w:textAlignment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kern w:val="0"/>
                <w:szCs w:val="21"/>
              </w:rPr>
              <w:t>序号</w:t>
            </w:r>
          </w:p>
        </w:tc>
        <w:tc>
          <w:tcPr>
            <w:tcW w:w="804" w:type="pct"/>
            <w:noWrap/>
            <w:vAlign w:val="center"/>
          </w:tcPr>
          <w:p>
            <w:pPr>
              <w:widowControl/>
              <w:spacing w:line="360" w:lineRule="auto"/>
              <w:jc w:val="center"/>
              <w:textAlignment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kern w:val="0"/>
                <w:szCs w:val="21"/>
              </w:rPr>
              <w:t>设备名称</w:t>
            </w:r>
          </w:p>
        </w:tc>
        <w:tc>
          <w:tcPr>
            <w:tcW w:w="3214" w:type="pct"/>
            <w:noWrap/>
            <w:vAlign w:val="center"/>
          </w:tcPr>
          <w:p>
            <w:pPr>
              <w:widowControl/>
              <w:spacing w:line="360" w:lineRule="auto"/>
              <w:jc w:val="center"/>
              <w:textAlignment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kern w:val="0"/>
                <w:szCs w:val="21"/>
              </w:rPr>
              <w:t>基本规格</w:t>
            </w:r>
          </w:p>
        </w:tc>
        <w:tc>
          <w:tcPr>
            <w:tcW w:w="322" w:type="pct"/>
            <w:noWrap/>
            <w:vAlign w:val="center"/>
          </w:tcPr>
          <w:p>
            <w:pPr>
              <w:widowControl/>
              <w:spacing w:line="360" w:lineRule="auto"/>
              <w:jc w:val="center"/>
              <w:textAlignment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kern w:val="0"/>
                <w:szCs w:val="21"/>
              </w:rPr>
              <w:t>单位</w:t>
            </w:r>
          </w:p>
        </w:tc>
        <w:tc>
          <w:tcPr>
            <w:tcW w:w="328" w:type="pct"/>
            <w:noWrap/>
            <w:vAlign w:val="center"/>
          </w:tcPr>
          <w:p>
            <w:pPr>
              <w:widowControl/>
              <w:spacing w:line="360" w:lineRule="auto"/>
              <w:jc w:val="center"/>
              <w:textAlignment w:val="center"/>
              <w:rPr>
                <w:rFonts w:asciiTheme="minorEastAsia" w:hAnsiTheme="minorEastAsia" w:eastAsiaTheme="minorEastAsia" w:cstheme="minorEastAsia"/>
                <w:b/>
                <w:kern w:val="0"/>
                <w:szCs w:val="21"/>
              </w:rPr>
            </w:pPr>
            <w:r>
              <w:rPr>
                <w:rFonts w:hint="eastAsia" w:asciiTheme="minorEastAsia" w:hAnsiTheme="minorEastAsia" w:eastAsiaTheme="minorEastAsia" w:cstheme="minorEastAsia"/>
                <w:b/>
                <w:kern w:val="0"/>
                <w:szCs w:val="21"/>
              </w:rPr>
              <w:t>数量</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32" w:hRule="atLeast"/>
        </w:trPr>
        <w:tc>
          <w:tcPr>
            <w:tcW w:w="330" w:type="pct"/>
            <w:noWrap/>
            <w:vAlign w:val="center"/>
          </w:tcPr>
          <w:p>
            <w:pPr>
              <w:widowControl/>
              <w:spacing w:line="360" w:lineRule="auto"/>
              <w:jc w:val="center"/>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1</w:t>
            </w:r>
          </w:p>
        </w:tc>
        <w:tc>
          <w:tcPr>
            <w:tcW w:w="804" w:type="pct"/>
            <w:noWrap/>
            <w:vAlign w:val="center"/>
          </w:tcPr>
          <w:p>
            <w:pPr>
              <w:widowControl/>
              <w:wordWrap w:val="0"/>
              <w:spacing w:line="264" w:lineRule="atLeast"/>
              <w:jc w:val="center"/>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列车牵引控制台</w:t>
            </w:r>
          </w:p>
        </w:tc>
        <w:tc>
          <w:tcPr>
            <w:tcW w:w="3214" w:type="pct"/>
            <w:noWrap/>
            <w:vAlign w:val="center"/>
          </w:tcPr>
          <w:p>
            <w:pPr>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1）控制台尺寸约（长X宽X高）mm：2300x780x1900；</w:t>
            </w:r>
          </w:p>
          <w:p>
            <w:pPr>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2）供电要求：AC220V/50Hz/2KW；</w:t>
            </w:r>
          </w:p>
          <w:p>
            <w:pPr>
              <w:widowControl/>
              <w:spacing w:line="360" w:lineRule="auto"/>
              <w:jc w:val="left"/>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主要由电路设计、安装、调试实训功能，PLC控制逻辑编程实训功能和机车功能试验及故障排查处置功能。实训主要涉及机车受电弓升/降弓控制电路和主断控制电路、牵引和制动控制电路等主要机车控制电路，可根据控制原理进行电路设计、设备的组装调试及验证、PLC编程、以及整体功能处理排查。</w:t>
            </w:r>
          </w:p>
        </w:tc>
        <w:tc>
          <w:tcPr>
            <w:tcW w:w="322" w:type="pct"/>
            <w:noWrap/>
            <w:vAlign w:val="center"/>
          </w:tcPr>
          <w:p>
            <w:pPr>
              <w:widowControl/>
              <w:wordWrap w:val="0"/>
              <w:spacing w:line="264" w:lineRule="atLeast"/>
              <w:jc w:val="center"/>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台</w:t>
            </w:r>
          </w:p>
        </w:tc>
        <w:tc>
          <w:tcPr>
            <w:tcW w:w="328" w:type="pct"/>
            <w:noWrap/>
            <w:vAlign w:val="center"/>
          </w:tcPr>
          <w:p>
            <w:pPr>
              <w:widowControl/>
              <w:spacing w:line="360" w:lineRule="auto"/>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05" w:hRule="atLeast"/>
        </w:trPr>
        <w:tc>
          <w:tcPr>
            <w:tcW w:w="330" w:type="pct"/>
            <w:noWrap/>
            <w:vAlign w:val="center"/>
          </w:tcPr>
          <w:p>
            <w:pPr>
              <w:widowControl/>
              <w:spacing w:line="360" w:lineRule="auto"/>
              <w:jc w:val="center"/>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2</w:t>
            </w:r>
          </w:p>
        </w:tc>
        <w:tc>
          <w:tcPr>
            <w:tcW w:w="804" w:type="pct"/>
            <w:noWrap/>
            <w:vAlign w:val="center"/>
          </w:tcPr>
          <w:p>
            <w:pPr>
              <w:widowControl/>
              <w:wordWrap w:val="0"/>
              <w:spacing w:line="264" w:lineRule="atLeast"/>
              <w:jc w:val="center"/>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CCBII空气制动控制仿真单元</w:t>
            </w:r>
          </w:p>
        </w:tc>
        <w:tc>
          <w:tcPr>
            <w:tcW w:w="3214" w:type="pct"/>
            <w:noWrap/>
            <w:vAlign w:val="center"/>
          </w:tcPr>
          <w:p>
            <w:pPr>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辅助风源（辅助压缩机、干燥器）</w:t>
            </w:r>
          </w:p>
          <w:p>
            <w:pPr>
              <w:widowControl/>
              <w:spacing w:line="360" w:lineRule="auto"/>
              <w:jc w:val="left"/>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含：IPM中央处理仿真模块、RIM继电器接口仿真模块，辅助空气控制模块、EPCU电空控制仿真单元，能够动态采集各阀门状态、数值。</w:t>
            </w:r>
          </w:p>
        </w:tc>
        <w:tc>
          <w:tcPr>
            <w:tcW w:w="322" w:type="pct"/>
            <w:noWrap/>
            <w:vAlign w:val="center"/>
          </w:tcPr>
          <w:p>
            <w:pPr>
              <w:widowControl/>
              <w:wordWrap w:val="0"/>
              <w:spacing w:line="264" w:lineRule="atLeast"/>
              <w:jc w:val="center"/>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套</w:t>
            </w:r>
          </w:p>
        </w:tc>
        <w:tc>
          <w:tcPr>
            <w:tcW w:w="328" w:type="pct"/>
            <w:noWrap/>
            <w:vAlign w:val="center"/>
          </w:tcPr>
          <w:p>
            <w:pPr>
              <w:widowControl/>
              <w:spacing w:line="360" w:lineRule="auto"/>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90" w:hRule="atLeast"/>
        </w:trPr>
        <w:tc>
          <w:tcPr>
            <w:tcW w:w="330" w:type="pct"/>
            <w:noWrap/>
            <w:vAlign w:val="center"/>
          </w:tcPr>
          <w:p>
            <w:pPr>
              <w:widowControl/>
              <w:spacing w:line="360" w:lineRule="auto"/>
              <w:jc w:val="center"/>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3</w:t>
            </w:r>
          </w:p>
        </w:tc>
        <w:tc>
          <w:tcPr>
            <w:tcW w:w="804" w:type="pct"/>
            <w:noWrap/>
            <w:vAlign w:val="center"/>
          </w:tcPr>
          <w:p>
            <w:pPr>
              <w:widowControl/>
              <w:wordWrap w:val="0"/>
              <w:spacing w:line="264" w:lineRule="atLeast"/>
              <w:jc w:val="center"/>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低压电气控制仿真单元</w:t>
            </w:r>
          </w:p>
        </w:tc>
        <w:tc>
          <w:tcPr>
            <w:tcW w:w="3214" w:type="pct"/>
            <w:noWrap/>
            <w:vAlign w:val="center"/>
          </w:tcPr>
          <w:p>
            <w:pPr>
              <w:widowControl/>
              <w:spacing w:line="360" w:lineRule="auto"/>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含：塑壳断路器、微型断路器、马达断路保护器、万能转向开关、电能表。</w:t>
            </w:r>
          </w:p>
        </w:tc>
        <w:tc>
          <w:tcPr>
            <w:tcW w:w="322" w:type="pct"/>
            <w:noWrap/>
            <w:vAlign w:val="center"/>
          </w:tcPr>
          <w:p>
            <w:pPr>
              <w:widowControl/>
              <w:wordWrap w:val="0"/>
              <w:spacing w:line="264" w:lineRule="atLeast"/>
              <w:jc w:val="center"/>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套</w:t>
            </w:r>
          </w:p>
        </w:tc>
        <w:tc>
          <w:tcPr>
            <w:tcW w:w="328" w:type="pct"/>
            <w:noWrap/>
            <w:vAlign w:val="center"/>
          </w:tcPr>
          <w:p>
            <w:pPr>
              <w:widowControl/>
              <w:spacing w:line="360" w:lineRule="auto"/>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90" w:hRule="atLeast"/>
        </w:trPr>
        <w:tc>
          <w:tcPr>
            <w:tcW w:w="330" w:type="pct"/>
            <w:noWrap/>
            <w:vAlign w:val="center"/>
          </w:tcPr>
          <w:p>
            <w:pPr>
              <w:widowControl/>
              <w:spacing w:line="360" w:lineRule="auto"/>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4</w:t>
            </w:r>
          </w:p>
        </w:tc>
        <w:tc>
          <w:tcPr>
            <w:tcW w:w="804" w:type="pct"/>
            <w:noWrap/>
            <w:vAlign w:val="center"/>
          </w:tcPr>
          <w:p>
            <w:pPr>
              <w:widowControl/>
              <w:wordWrap w:val="0"/>
              <w:spacing w:line="264" w:lineRule="atLeast"/>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PLC编程单元</w:t>
            </w:r>
          </w:p>
        </w:tc>
        <w:tc>
          <w:tcPr>
            <w:tcW w:w="3214" w:type="pct"/>
            <w:noWrap/>
            <w:vAlign w:val="center"/>
          </w:tcPr>
          <w:p>
            <w:pPr>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CPU ST60（36路数字输入，24路数字输出）</w:t>
            </w:r>
          </w:p>
          <w:p>
            <w:pPr>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EM AE08（8路模拟量输入）</w:t>
            </w:r>
          </w:p>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EM AQ04</w:t>
            </w:r>
            <w:r>
              <w:rPr>
                <w:rFonts w:hint="eastAsia" w:asciiTheme="minorEastAsia" w:hAnsiTheme="minorEastAsia" w:eastAsiaTheme="minorEastAsia" w:cstheme="minorEastAsia"/>
                <w:szCs w:val="21"/>
              </w:rPr>
              <w:t>（4路模拟量输出）</w:t>
            </w:r>
          </w:p>
          <w:p>
            <w:pPr>
              <w:widowControl/>
              <w:spacing w:line="360" w:lineRule="auto"/>
              <w:jc w:val="left"/>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导轨继电器、导轨二极管、导轨LED指示灯</w:t>
            </w:r>
          </w:p>
        </w:tc>
        <w:tc>
          <w:tcPr>
            <w:tcW w:w="322" w:type="pct"/>
            <w:noWrap/>
            <w:vAlign w:val="center"/>
          </w:tcPr>
          <w:p>
            <w:pPr>
              <w:widowControl/>
              <w:wordWrap w:val="0"/>
              <w:spacing w:line="264" w:lineRule="atLeast"/>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套</w:t>
            </w:r>
          </w:p>
        </w:tc>
        <w:tc>
          <w:tcPr>
            <w:tcW w:w="328" w:type="pct"/>
            <w:noWrap/>
            <w:vAlign w:val="center"/>
          </w:tcPr>
          <w:p>
            <w:pPr>
              <w:widowControl/>
              <w:spacing w:line="360" w:lineRule="auto"/>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90" w:hRule="atLeast"/>
        </w:trPr>
        <w:tc>
          <w:tcPr>
            <w:tcW w:w="330" w:type="pct"/>
            <w:noWrap/>
            <w:vAlign w:val="center"/>
          </w:tcPr>
          <w:p>
            <w:pPr>
              <w:widowControl/>
              <w:spacing w:line="360" w:lineRule="auto"/>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5</w:t>
            </w:r>
          </w:p>
        </w:tc>
        <w:tc>
          <w:tcPr>
            <w:tcW w:w="804" w:type="pct"/>
            <w:noWrap/>
            <w:vAlign w:val="center"/>
          </w:tcPr>
          <w:p>
            <w:pPr>
              <w:widowControl/>
              <w:wordWrap w:val="0"/>
              <w:spacing w:line="264" w:lineRule="atLeast"/>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HXD3C机车模拟实训台</w:t>
            </w:r>
          </w:p>
        </w:tc>
        <w:tc>
          <w:tcPr>
            <w:tcW w:w="3214" w:type="pct"/>
            <w:noWrap/>
            <w:vAlign w:val="center"/>
          </w:tcPr>
          <w:p>
            <w:pPr>
              <w:widowControl/>
              <w:spacing w:line="360" w:lineRule="auto"/>
              <w:jc w:val="left"/>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按照HXD3C型机车操纵台仿制。外观尺寸与实车一致，电气逻辑功能与真车一致。</w:t>
            </w:r>
          </w:p>
        </w:tc>
        <w:tc>
          <w:tcPr>
            <w:tcW w:w="322" w:type="pct"/>
            <w:noWrap/>
            <w:vAlign w:val="center"/>
          </w:tcPr>
          <w:p>
            <w:pPr>
              <w:widowControl/>
              <w:wordWrap w:val="0"/>
              <w:spacing w:line="264" w:lineRule="atLeast"/>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台</w:t>
            </w:r>
          </w:p>
        </w:tc>
        <w:tc>
          <w:tcPr>
            <w:tcW w:w="328" w:type="pct"/>
            <w:noWrap/>
            <w:vAlign w:val="center"/>
          </w:tcPr>
          <w:p>
            <w:pPr>
              <w:widowControl/>
              <w:spacing w:line="360" w:lineRule="auto"/>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90" w:hRule="atLeast"/>
        </w:trPr>
        <w:tc>
          <w:tcPr>
            <w:tcW w:w="330" w:type="pct"/>
            <w:noWrap/>
            <w:vAlign w:val="center"/>
          </w:tcPr>
          <w:p>
            <w:pPr>
              <w:widowControl/>
              <w:spacing w:line="360" w:lineRule="auto"/>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6</w:t>
            </w:r>
          </w:p>
        </w:tc>
        <w:tc>
          <w:tcPr>
            <w:tcW w:w="804" w:type="pct"/>
            <w:noWrap/>
            <w:vAlign w:val="center"/>
          </w:tcPr>
          <w:p>
            <w:pPr>
              <w:widowControl/>
              <w:wordWrap w:val="0"/>
              <w:spacing w:line="264" w:lineRule="atLeast"/>
              <w:jc w:val="center"/>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司机控制器</w:t>
            </w:r>
          </w:p>
        </w:tc>
        <w:tc>
          <w:tcPr>
            <w:tcW w:w="3214" w:type="pct"/>
            <w:noWrap/>
            <w:vAlign w:val="center"/>
          </w:tcPr>
          <w:p>
            <w:pPr>
              <w:widowControl/>
              <w:spacing w:line="360" w:lineRule="auto"/>
              <w:jc w:val="left"/>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按照HXD3C型机车1:1仿真司机控制器，控制功能与实车相同。</w:t>
            </w:r>
          </w:p>
        </w:tc>
        <w:tc>
          <w:tcPr>
            <w:tcW w:w="322" w:type="pct"/>
            <w:noWrap/>
            <w:vAlign w:val="center"/>
          </w:tcPr>
          <w:p>
            <w:pPr>
              <w:widowControl/>
              <w:wordWrap w:val="0"/>
              <w:spacing w:line="264" w:lineRule="atLeast"/>
              <w:jc w:val="center"/>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套</w:t>
            </w:r>
          </w:p>
        </w:tc>
        <w:tc>
          <w:tcPr>
            <w:tcW w:w="328" w:type="pct"/>
            <w:noWrap/>
            <w:vAlign w:val="center"/>
          </w:tcPr>
          <w:p>
            <w:pPr>
              <w:widowControl/>
              <w:spacing w:line="360" w:lineRule="auto"/>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90" w:hRule="atLeast"/>
        </w:trPr>
        <w:tc>
          <w:tcPr>
            <w:tcW w:w="330" w:type="pct"/>
            <w:noWrap/>
            <w:vAlign w:val="center"/>
          </w:tcPr>
          <w:p>
            <w:pPr>
              <w:widowControl/>
              <w:spacing w:line="360" w:lineRule="auto"/>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7</w:t>
            </w:r>
          </w:p>
        </w:tc>
        <w:tc>
          <w:tcPr>
            <w:tcW w:w="804" w:type="pct"/>
            <w:noWrap/>
            <w:vAlign w:val="center"/>
          </w:tcPr>
          <w:p>
            <w:pPr>
              <w:widowControl/>
              <w:wordWrap w:val="0"/>
              <w:spacing w:line="264" w:lineRule="atLeast"/>
              <w:jc w:val="center"/>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制动控制器</w:t>
            </w:r>
          </w:p>
        </w:tc>
        <w:tc>
          <w:tcPr>
            <w:tcW w:w="3214" w:type="pct"/>
            <w:noWrap/>
            <w:vAlign w:val="center"/>
          </w:tcPr>
          <w:p>
            <w:pPr>
              <w:widowControl/>
              <w:spacing w:line="360" w:lineRule="auto"/>
              <w:jc w:val="left"/>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按照CCB-II制动控制手柄仿制。</w:t>
            </w:r>
          </w:p>
        </w:tc>
        <w:tc>
          <w:tcPr>
            <w:tcW w:w="322" w:type="pct"/>
            <w:noWrap/>
            <w:vAlign w:val="center"/>
          </w:tcPr>
          <w:p>
            <w:pPr>
              <w:widowControl/>
              <w:wordWrap w:val="0"/>
              <w:spacing w:line="264" w:lineRule="atLeast"/>
              <w:jc w:val="center"/>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套</w:t>
            </w:r>
          </w:p>
        </w:tc>
        <w:tc>
          <w:tcPr>
            <w:tcW w:w="328" w:type="pct"/>
            <w:noWrap/>
            <w:vAlign w:val="center"/>
          </w:tcPr>
          <w:p>
            <w:pPr>
              <w:widowControl/>
              <w:spacing w:line="360" w:lineRule="auto"/>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90" w:hRule="atLeast"/>
        </w:trPr>
        <w:tc>
          <w:tcPr>
            <w:tcW w:w="330" w:type="pct"/>
            <w:noWrap/>
            <w:vAlign w:val="center"/>
          </w:tcPr>
          <w:p>
            <w:pPr>
              <w:widowControl/>
              <w:spacing w:line="360" w:lineRule="auto"/>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8</w:t>
            </w:r>
          </w:p>
        </w:tc>
        <w:tc>
          <w:tcPr>
            <w:tcW w:w="804" w:type="pct"/>
            <w:noWrap/>
            <w:vAlign w:val="center"/>
          </w:tcPr>
          <w:p>
            <w:pPr>
              <w:widowControl/>
              <w:wordWrap w:val="0"/>
              <w:spacing w:line="264" w:lineRule="atLeast"/>
              <w:jc w:val="center"/>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制动显示屏仿真模块</w:t>
            </w:r>
          </w:p>
        </w:tc>
        <w:tc>
          <w:tcPr>
            <w:tcW w:w="3214" w:type="pct"/>
            <w:noWrap/>
            <w:vAlign w:val="center"/>
          </w:tcPr>
          <w:p>
            <w:pPr>
              <w:widowControl/>
              <w:spacing w:line="360" w:lineRule="auto"/>
              <w:jc w:val="left"/>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显示制动机状态，10.4寸高亮度LCD液晶面板。</w:t>
            </w:r>
          </w:p>
        </w:tc>
        <w:tc>
          <w:tcPr>
            <w:tcW w:w="322" w:type="pct"/>
            <w:noWrap/>
            <w:vAlign w:val="center"/>
          </w:tcPr>
          <w:p>
            <w:pPr>
              <w:widowControl/>
              <w:wordWrap w:val="0"/>
              <w:spacing w:line="264" w:lineRule="atLeast"/>
              <w:jc w:val="center"/>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套</w:t>
            </w:r>
          </w:p>
        </w:tc>
        <w:tc>
          <w:tcPr>
            <w:tcW w:w="328" w:type="pct"/>
            <w:noWrap/>
            <w:vAlign w:val="center"/>
          </w:tcPr>
          <w:p>
            <w:pPr>
              <w:widowControl/>
              <w:spacing w:line="360" w:lineRule="auto"/>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390" w:hRule="atLeast"/>
        </w:trPr>
        <w:tc>
          <w:tcPr>
            <w:tcW w:w="330" w:type="pct"/>
            <w:noWrap/>
            <w:vAlign w:val="center"/>
          </w:tcPr>
          <w:p>
            <w:pPr>
              <w:jc w:val="center"/>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804" w:type="pct"/>
            <w:noWrap/>
            <w:vAlign w:val="center"/>
          </w:tcPr>
          <w:p>
            <w:pPr>
              <w:widowControl/>
              <w:wordWrap w:val="0"/>
              <w:spacing w:line="264" w:lineRule="atLeast"/>
              <w:jc w:val="center"/>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多功能状态仪表组合模块</w:t>
            </w:r>
          </w:p>
        </w:tc>
        <w:tc>
          <w:tcPr>
            <w:tcW w:w="3214" w:type="pct"/>
            <w:noWrap/>
            <w:vAlign w:val="center"/>
          </w:tcPr>
          <w:p>
            <w:pPr>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用于显示机车必要的运行参数、 车上设备状态指示。包含双针速度表、电测量双针仪表、状态指示灯、紧急制动按钮、数显压力表。</w:t>
            </w:r>
          </w:p>
        </w:tc>
        <w:tc>
          <w:tcPr>
            <w:tcW w:w="322" w:type="pct"/>
            <w:noWrap/>
            <w:vAlign w:val="center"/>
          </w:tcPr>
          <w:p>
            <w:pPr>
              <w:widowControl/>
              <w:wordWrap w:val="0"/>
              <w:spacing w:line="264" w:lineRule="atLeast"/>
              <w:jc w:val="center"/>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套</w:t>
            </w:r>
          </w:p>
        </w:tc>
        <w:tc>
          <w:tcPr>
            <w:tcW w:w="328" w:type="pct"/>
            <w:noWrap/>
            <w:vAlign w:val="center"/>
          </w:tcPr>
          <w:p>
            <w:pPr>
              <w:jc w:val="center"/>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3</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90" w:hRule="atLeast"/>
        </w:trPr>
        <w:tc>
          <w:tcPr>
            <w:tcW w:w="330" w:type="pct"/>
            <w:noWrap/>
            <w:vAlign w:val="center"/>
          </w:tcPr>
          <w:p>
            <w:pPr>
              <w:widowControl/>
              <w:spacing w:line="360" w:lineRule="auto"/>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10</w:t>
            </w:r>
          </w:p>
        </w:tc>
        <w:tc>
          <w:tcPr>
            <w:tcW w:w="804" w:type="pct"/>
            <w:noWrap/>
            <w:vAlign w:val="center"/>
          </w:tcPr>
          <w:p>
            <w:pPr>
              <w:widowControl/>
              <w:wordWrap w:val="0"/>
              <w:spacing w:line="264" w:lineRule="atLeast"/>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机车状态显示屏</w:t>
            </w:r>
          </w:p>
        </w:tc>
        <w:tc>
          <w:tcPr>
            <w:tcW w:w="3214" w:type="pct"/>
            <w:noWrap/>
            <w:vAlign w:val="center"/>
          </w:tcPr>
          <w:p>
            <w:pPr>
              <w:widowControl/>
              <w:spacing w:line="360" w:lineRule="auto"/>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10.4"高亮度TFT LCD液晶面板,显示机车系统及制动系统各状态信息。</w:t>
            </w:r>
          </w:p>
        </w:tc>
        <w:tc>
          <w:tcPr>
            <w:tcW w:w="322" w:type="pct"/>
            <w:noWrap/>
            <w:vAlign w:val="center"/>
          </w:tcPr>
          <w:p>
            <w:pPr>
              <w:widowControl/>
              <w:wordWrap w:val="0"/>
              <w:spacing w:line="264" w:lineRule="atLeast"/>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台</w:t>
            </w:r>
          </w:p>
        </w:tc>
        <w:tc>
          <w:tcPr>
            <w:tcW w:w="328" w:type="pct"/>
            <w:noWrap/>
            <w:vAlign w:val="center"/>
          </w:tcPr>
          <w:p>
            <w:pPr>
              <w:widowControl/>
              <w:spacing w:line="360" w:lineRule="auto"/>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90" w:hRule="atLeast"/>
        </w:trPr>
        <w:tc>
          <w:tcPr>
            <w:tcW w:w="330" w:type="pct"/>
            <w:noWrap/>
            <w:vAlign w:val="center"/>
          </w:tcPr>
          <w:p>
            <w:pPr>
              <w:widowControl/>
              <w:spacing w:line="360" w:lineRule="auto"/>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11</w:t>
            </w:r>
          </w:p>
        </w:tc>
        <w:tc>
          <w:tcPr>
            <w:tcW w:w="804" w:type="pct"/>
            <w:noWrap/>
            <w:vAlign w:val="center"/>
          </w:tcPr>
          <w:p>
            <w:pPr>
              <w:widowControl/>
              <w:wordWrap w:val="0"/>
              <w:spacing w:line="264" w:lineRule="atLeast"/>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CIR电台仿真模块</w:t>
            </w:r>
          </w:p>
        </w:tc>
        <w:tc>
          <w:tcPr>
            <w:tcW w:w="3214" w:type="pct"/>
            <w:noWrap/>
            <w:vAlign w:val="center"/>
          </w:tcPr>
          <w:p>
            <w:pPr>
              <w:widowControl/>
              <w:spacing w:line="360" w:lineRule="auto"/>
              <w:jc w:val="left"/>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包含操作显示终端（MMI）、紧凑型送受话器、扬声器、打印机终端。</w:t>
            </w:r>
          </w:p>
        </w:tc>
        <w:tc>
          <w:tcPr>
            <w:tcW w:w="322" w:type="pct"/>
            <w:noWrap/>
            <w:vAlign w:val="center"/>
          </w:tcPr>
          <w:p>
            <w:pPr>
              <w:widowControl/>
              <w:wordWrap w:val="0"/>
              <w:spacing w:line="264" w:lineRule="atLeast"/>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套</w:t>
            </w:r>
          </w:p>
        </w:tc>
        <w:tc>
          <w:tcPr>
            <w:tcW w:w="328" w:type="pct"/>
            <w:noWrap/>
            <w:vAlign w:val="center"/>
          </w:tcPr>
          <w:p>
            <w:pPr>
              <w:widowControl/>
              <w:spacing w:line="360" w:lineRule="auto"/>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90" w:hRule="atLeast"/>
        </w:trPr>
        <w:tc>
          <w:tcPr>
            <w:tcW w:w="330" w:type="pct"/>
            <w:noWrap/>
            <w:vAlign w:val="center"/>
          </w:tcPr>
          <w:p>
            <w:pPr>
              <w:widowControl/>
              <w:spacing w:line="360" w:lineRule="auto"/>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12</w:t>
            </w:r>
          </w:p>
        </w:tc>
        <w:tc>
          <w:tcPr>
            <w:tcW w:w="804" w:type="pct"/>
            <w:noWrap/>
            <w:vAlign w:val="center"/>
          </w:tcPr>
          <w:p>
            <w:pPr>
              <w:widowControl/>
              <w:wordWrap w:val="0"/>
              <w:spacing w:line="264" w:lineRule="atLeast"/>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LKJ2000监控装置模拟模块</w:t>
            </w:r>
          </w:p>
        </w:tc>
        <w:tc>
          <w:tcPr>
            <w:tcW w:w="3214" w:type="pct"/>
            <w:noWrap/>
            <w:vAlign w:val="center"/>
          </w:tcPr>
          <w:p>
            <w:pPr>
              <w:widowControl/>
              <w:spacing w:line="360" w:lineRule="auto"/>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10.4"高亮度TFT LCD液晶面板，含IC卡卡槽，可以进行运行记录文件和IC卡临时数据文件的写入和转储。显示监控信息，实速、限速、线路状态信息，隧道、桥梁、坡度、弯道等信息。能够支持LKJ监控记录板，刷入实际基础数据。</w:t>
            </w:r>
          </w:p>
        </w:tc>
        <w:tc>
          <w:tcPr>
            <w:tcW w:w="322" w:type="pct"/>
            <w:noWrap/>
            <w:vAlign w:val="center"/>
          </w:tcPr>
          <w:p>
            <w:pPr>
              <w:widowControl/>
              <w:wordWrap w:val="0"/>
              <w:spacing w:line="264" w:lineRule="atLeast"/>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套</w:t>
            </w:r>
          </w:p>
        </w:tc>
        <w:tc>
          <w:tcPr>
            <w:tcW w:w="328" w:type="pct"/>
            <w:noWrap/>
            <w:vAlign w:val="center"/>
          </w:tcPr>
          <w:p>
            <w:pPr>
              <w:widowControl/>
              <w:spacing w:line="360" w:lineRule="auto"/>
              <w:jc w:val="center"/>
              <w:textAlignment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w:t>
            </w:r>
          </w:p>
        </w:tc>
      </w:tr>
    </w:tbl>
    <w:p>
      <w:pPr>
        <w:widowControl/>
        <w:spacing w:line="360" w:lineRule="auto"/>
        <w:rPr>
          <w:b/>
          <w:bCs/>
        </w:rPr>
      </w:pPr>
      <w:r>
        <w:rPr>
          <w:rFonts w:hint="eastAsia" w:asciiTheme="minorEastAsia" w:hAnsiTheme="minorEastAsia" w:eastAsiaTheme="minorEastAsia" w:cstheme="minorEastAsia"/>
          <w:b/>
          <w:bCs/>
          <w:szCs w:val="21"/>
        </w:rPr>
        <w:t>注：1.本项目核心产品为：LKJ2000监控装置模拟模块。</w:t>
      </w:r>
      <w:r>
        <w:rPr>
          <w:rFonts w:hint="eastAsia" w:ascii="宋体" w:hAnsi="宋体" w:eastAsia="宋体" w:cs="宋体"/>
          <w:b/>
          <w:bCs/>
          <w:kern w:val="0"/>
          <w:szCs w:val="21"/>
        </w:rPr>
        <w:t>核心产品为同一品牌且通过资格审查、符合性审查的不同投标人，按一家投标人计算。</w:t>
      </w:r>
    </w:p>
    <w:p>
      <w:pPr>
        <w:pStyle w:val="59"/>
        <w:spacing w:line="360" w:lineRule="auto"/>
        <w:ind w:firstLine="0" w:firstLineChars="0"/>
        <w:rPr>
          <w:rFonts w:asciiTheme="minorEastAsia" w:hAnsiTheme="minorEastAsia" w:eastAsiaTheme="minorEastAsia" w:cstheme="minorEastAsia"/>
        </w:rPr>
      </w:pPr>
      <w:r>
        <w:rPr>
          <w:rFonts w:hint="eastAsia" w:asciiTheme="minorEastAsia" w:hAnsiTheme="minorEastAsia" w:eastAsiaTheme="minorEastAsia" w:cstheme="minorEastAsia"/>
          <w:b/>
          <w:bCs/>
          <w:sz w:val="21"/>
          <w:szCs w:val="21"/>
        </w:rPr>
        <w:t>2.招标文件中描述的产品名称（如有）、基本性能指标仅供投标人选择货物时在质量水平上进行参考，不具有限制性，投标人可提供品质相同的或优于同类的产品。</w:t>
      </w:r>
    </w:p>
    <w:p>
      <w:pPr>
        <w:rPr>
          <w:rFonts w:asciiTheme="minorEastAsia" w:hAnsiTheme="minorEastAsia" w:eastAsiaTheme="minorEastAsia" w:cstheme="minorEastAsia"/>
        </w:rPr>
      </w:pPr>
      <w:r>
        <w:rPr>
          <w:rFonts w:hint="eastAsia" w:asciiTheme="minorEastAsia" w:hAnsiTheme="minorEastAsia" w:eastAsiaTheme="minorEastAsia" w:cstheme="minorEastAsia"/>
        </w:rPr>
        <w:br w:type="page"/>
      </w:r>
    </w:p>
    <w:p>
      <w:pPr>
        <w:numPr>
          <w:ilvl w:val="0"/>
          <w:numId w:val="5"/>
        </w:numPr>
        <w:jc w:val="center"/>
        <w:outlineLvl w:val="0"/>
        <w:rPr>
          <w:rFonts w:ascii="宋体" w:hAnsi="宋体" w:eastAsia="宋体" w:cs="宋体"/>
          <w:b/>
          <w:kern w:val="44"/>
          <w:sz w:val="44"/>
          <w:szCs w:val="20"/>
        </w:rPr>
      </w:pPr>
      <w:bookmarkStart w:id="96" w:name="_Toc10101"/>
      <w:r>
        <w:rPr>
          <w:rFonts w:hint="eastAsia" w:ascii="宋体" w:hAnsi="宋体" w:eastAsia="宋体" w:cs="宋体"/>
          <w:b/>
          <w:kern w:val="44"/>
          <w:sz w:val="44"/>
          <w:szCs w:val="20"/>
        </w:rPr>
        <w:t xml:space="preserve"> 合同条款及格式</w:t>
      </w:r>
      <w:bookmarkEnd w:id="96"/>
    </w:p>
    <w:p>
      <w:pPr>
        <w:snapToGrid w:val="0"/>
        <w:spacing w:line="408"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郑州铁路职业技术学院政府采购货物合同</w:t>
      </w:r>
    </w:p>
    <w:p>
      <w:pPr>
        <w:snapToGrid w:val="0"/>
        <w:spacing w:line="408"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szCs w:val="21"/>
        </w:rPr>
        <w:t>项目编号</w:t>
      </w:r>
      <w:r>
        <w:rPr>
          <w:rFonts w:hint="eastAsia" w:asciiTheme="minorEastAsia" w:hAnsiTheme="minorEastAsia" w:eastAsiaTheme="minorEastAsia" w:cstheme="minorEastAsia"/>
          <w:b/>
          <w:szCs w:val="21"/>
          <w:u w:val="single"/>
        </w:rPr>
        <w:t>：（成交项目编号）</w:t>
      </w:r>
    </w:p>
    <w:p>
      <w:pPr>
        <w:pStyle w:val="46"/>
        <w:rPr>
          <w:rFonts w:asciiTheme="minorEastAsia" w:hAnsiTheme="minorEastAsia" w:eastAsiaTheme="minorEastAsia" w:cstheme="minorEastAsia"/>
          <w:color w:val="auto"/>
          <w:sz w:val="21"/>
          <w:szCs w:val="21"/>
        </w:rPr>
      </w:pPr>
    </w:p>
    <w:p>
      <w:pPr>
        <w:adjustRightInd w:val="0"/>
        <w:snapToGrid w:val="0"/>
        <w:spacing w:line="48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甲方：</w:t>
      </w:r>
    </w:p>
    <w:p>
      <w:pPr>
        <w:adjustRightInd w:val="0"/>
        <w:snapToGrid w:val="0"/>
        <w:spacing w:line="48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乙方：</w:t>
      </w:r>
    </w:p>
    <w:p>
      <w:pPr>
        <w:adjustRightInd w:val="0"/>
        <w:snapToGrid w:val="0"/>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本合同于年月日由甲乙双方按下述条款签署。</w:t>
      </w:r>
    </w:p>
    <w:p>
      <w:pPr>
        <w:adjustRightInd w:val="0"/>
        <w:snapToGrid w:val="0"/>
        <w:spacing w:line="480" w:lineRule="auto"/>
        <w:ind w:firstLine="48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在本次</w:t>
      </w:r>
      <w:r>
        <w:rPr>
          <w:rFonts w:hint="eastAsia" w:asciiTheme="minorEastAsia" w:hAnsiTheme="minorEastAsia" w:eastAsiaTheme="minorEastAsia" w:cstheme="minorEastAsia"/>
          <w:szCs w:val="21"/>
          <w:u w:val="single"/>
        </w:rPr>
        <w:t>（项目名称）</w:t>
      </w:r>
      <w:r>
        <w:rPr>
          <w:rFonts w:hint="eastAsia" w:asciiTheme="minorEastAsia" w:hAnsiTheme="minorEastAsia" w:eastAsiaTheme="minorEastAsia" w:cstheme="minorEastAsia"/>
          <w:szCs w:val="21"/>
        </w:rPr>
        <w:t>竞争性磋商采购中，甲方接受了乙方以总金额</w:t>
      </w:r>
      <w:r>
        <w:rPr>
          <w:rFonts w:hint="eastAsia" w:asciiTheme="minorEastAsia" w:hAnsiTheme="minorEastAsia" w:eastAsiaTheme="minorEastAsia" w:cstheme="minorEastAsia"/>
          <w:szCs w:val="21"/>
          <w:u w:val="single"/>
        </w:rPr>
        <w:t>（币种，用文字和数字表示的合同价）</w:t>
      </w:r>
      <w:r>
        <w:rPr>
          <w:rFonts w:hint="eastAsia" w:asciiTheme="minorEastAsia" w:hAnsiTheme="minorEastAsia" w:eastAsiaTheme="minorEastAsia" w:cstheme="minorEastAsia"/>
          <w:szCs w:val="21"/>
        </w:rPr>
        <w:t>（以下简称“合同价”）的投标。双方以上述事实为基础，签订本合同。</w:t>
      </w:r>
    </w:p>
    <w:p>
      <w:pPr>
        <w:adjustRightInd w:val="0"/>
        <w:snapToGrid w:val="0"/>
        <w:spacing w:line="480" w:lineRule="auto"/>
        <w:ind w:firstLine="422" w:firstLineChars="200"/>
        <w:outlineLvl w:val="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一、供货范围及分项价格表（详见附件1、附件2）</w:t>
      </w:r>
    </w:p>
    <w:p>
      <w:pPr>
        <w:adjustRightInd w:val="0"/>
        <w:snapToGrid w:val="0"/>
        <w:spacing w:line="480" w:lineRule="auto"/>
        <w:ind w:firstLine="57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1.本合同所指设备详见附件1、附件2，此附件是合同中不可分割的部分。</w:t>
      </w:r>
    </w:p>
    <w:p>
      <w:pPr>
        <w:adjustRightInd w:val="0"/>
        <w:snapToGrid w:val="0"/>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2.总价中包括设备金额、包装、运输保险费、装卸费、安装及相关材料费、调试费、软件费、检验费及培训所需费用及税金等，甲方不再另行支付任何费用。</w:t>
      </w:r>
    </w:p>
    <w:p>
      <w:pPr>
        <w:adjustRightInd w:val="0"/>
        <w:snapToGrid w:val="0"/>
        <w:spacing w:line="480" w:lineRule="auto"/>
        <w:ind w:firstLine="422" w:firstLineChars="200"/>
        <w:outlineLvl w:val="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二、质量及技术规格要求</w:t>
      </w:r>
    </w:p>
    <w:p>
      <w:pPr>
        <w:adjustRightInd w:val="0"/>
        <w:snapToGrid w:val="0"/>
        <w:spacing w:line="480" w:lineRule="auto"/>
        <w:ind w:firstLine="57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须按合同要求提供全新设备（包括零部件、附件、备品备件等），设备的质量标准、规格型号、具体配置、数量等符合招标标书要求，其产品为原厂生产，且应达到乙方投标文件及澄清文件中明确的技术标准。</w:t>
      </w:r>
    </w:p>
    <w:p>
      <w:pPr>
        <w:adjustRightInd w:val="0"/>
        <w:snapToGrid w:val="0"/>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乙方应在本合同生效后7个工作日内向甲方提供安装计划及质量控制规范；并 于    月    日前进驻安装现场；所有设备运送到甲方指定地点后，双方在  日内共同验收并签署验收意见。如甲方无正当理由，不得拒绝接收；在安装调试过程中，甲方有权采取适当的方式对乙方产品质量标准、规格型号、具体配置、数量以及安装质量和进度等进行检查。甲方如果发现乙方所供设备不符合合同约定，甲方有权单方解除合同，由此产生的一切费用由乙方承担。</w:t>
      </w:r>
    </w:p>
    <w:p>
      <w:pPr>
        <w:numPr>
          <w:ilvl w:val="0"/>
          <w:numId w:val="8"/>
        </w:numPr>
        <w:adjustRightInd w:val="0"/>
        <w:snapToGrid w:val="0"/>
        <w:spacing w:line="480" w:lineRule="auto"/>
        <w:ind w:firstLine="422" w:firstLineChars="200"/>
        <w:outlineLvl w:val="0"/>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包装与运输</w:t>
      </w:r>
    </w:p>
    <w:p>
      <w:pPr>
        <w:adjustRightInd w:val="0"/>
        <w:snapToGrid w:val="0"/>
        <w:spacing w:line="480" w:lineRule="auto"/>
        <w:ind w:firstLine="57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交付使用前发生的所有与设备相关的运输、安装及安全保障事项等均由乙方负责；设备包装应符合抗震、防潮、防冻、防锈以及长途运输等要求，对由于包装不当或防护措施不力而导致的商品损坏、损失、腐蚀等损失均由乙方承担；在设备交付使用前所发生的所有与设备相关的经济纠纷及法律责任均与甲方无关。</w:t>
      </w:r>
    </w:p>
    <w:p>
      <w:pPr>
        <w:adjustRightInd w:val="0"/>
        <w:snapToGrid w:val="0"/>
        <w:spacing w:line="480" w:lineRule="auto"/>
        <w:ind w:firstLine="422" w:firstLineChars="200"/>
        <w:outlineLvl w:val="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四、质保期与售后服务（详见附件3）</w:t>
      </w:r>
    </w:p>
    <w:p>
      <w:pPr>
        <w:adjustRightInd w:val="0"/>
        <w:snapToGrid w:val="0"/>
        <w:spacing w:line="480" w:lineRule="auto"/>
        <w:ind w:firstLine="48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1.所有设备免费质保期为年（自验收合格并交付给甲方之日起计算），终身维护、维修。</w:t>
      </w:r>
    </w:p>
    <w:p>
      <w:pPr>
        <w:adjustRightInd w:val="0"/>
        <w:snapToGrid w:val="0"/>
        <w:spacing w:line="480" w:lineRule="auto"/>
        <w:ind w:firstLine="48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2.在质保期内，因产品质量造成的问题，供货方免费提供配件并现场维修，且所提供的任何零配件必须是其原设备厂家生产的或经其认可的。产品存在质量问题，甲方有权要求乙方换货。</w:t>
      </w:r>
    </w:p>
    <w:p>
      <w:pPr>
        <w:adjustRightInd w:val="0"/>
        <w:snapToGrid w:val="0"/>
        <w:spacing w:line="480" w:lineRule="auto"/>
        <w:ind w:firstLine="48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3.乙方须提供一年次全免费（配件+人力）对产品设备的维护保养。</w:t>
      </w:r>
    </w:p>
    <w:p>
      <w:pPr>
        <w:adjustRightInd w:val="0"/>
        <w:snapToGrid w:val="0"/>
        <w:spacing w:line="480" w:lineRule="auto"/>
        <w:ind w:firstLine="48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4.乙方承诺有完善的售后服务体系，凡设备出现故障，自接到甲方报修电话1小时内响应，3小时内到达现场，24小时内解决故障问题。保修期外只收取甲方零配件成本费，其他免费。</w:t>
      </w:r>
    </w:p>
    <w:p>
      <w:pPr>
        <w:adjustRightInd w:val="0"/>
        <w:snapToGrid w:val="0"/>
        <w:spacing w:line="480" w:lineRule="auto"/>
        <w:ind w:firstLine="48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5.乙方有责任对甲方相关人员实施免费的现场培训或集中培训措施，保证甲方相关人员能够独立操作、熟练使用、维护和管理有关设备。                                                                                                                    </w:t>
      </w:r>
    </w:p>
    <w:p>
      <w:pPr>
        <w:adjustRightInd w:val="0"/>
        <w:snapToGrid w:val="0"/>
        <w:spacing w:line="480" w:lineRule="auto"/>
        <w:ind w:firstLine="480"/>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6.其它：</w:t>
      </w:r>
    </w:p>
    <w:p>
      <w:pPr>
        <w:adjustRightInd w:val="0"/>
        <w:snapToGrid w:val="0"/>
        <w:spacing w:line="480" w:lineRule="auto"/>
        <w:ind w:firstLine="5271" w:firstLineChars="2500"/>
        <w:rPr>
          <w:rFonts w:asciiTheme="minorEastAsia" w:hAnsiTheme="minorEastAsia" w:eastAsiaTheme="minorEastAsia" w:cstheme="minorEastAsia"/>
          <w:b/>
          <w:bCs/>
          <w:szCs w:val="21"/>
        </w:rPr>
      </w:pPr>
    </w:p>
    <w:p>
      <w:pPr>
        <w:adjustRightInd w:val="0"/>
        <w:snapToGrid w:val="0"/>
        <w:spacing w:line="480" w:lineRule="auto"/>
        <w:ind w:firstLine="422" w:firstLineChars="200"/>
        <w:outlineLvl w:val="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五、技术服务</w:t>
      </w:r>
    </w:p>
    <w:p>
      <w:pPr>
        <w:adjustRightInd w:val="0"/>
        <w:snapToGrid w:val="0"/>
        <w:spacing w:line="480" w:lineRule="auto"/>
        <w:ind w:firstLine="48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1.乙方向甲方免费提供标准安装调试及人次国内操作培训。</w:t>
      </w:r>
    </w:p>
    <w:p>
      <w:pPr>
        <w:adjustRightInd w:val="0"/>
        <w:snapToGrid w:val="0"/>
        <w:spacing w:line="480" w:lineRule="auto"/>
        <w:ind w:firstLine="48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2.乙方向甲方提供设备详细技术、维修及使用资料。</w:t>
      </w:r>
    </w:p>
    <w:p>
      <w:pPr>
        <w:adjustRightInd w:val="0"/>
        <w:snapToGrid w:val="0"/>
        <w:spacing w:line="480" w:lineRule="auto"/>
        <w:ind w:firstLine="48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3.软件免费升级和使用。</w:t>
      </w:r>
    </w:p>
    <w:p>
      <w:pPr>
        <w:adjustRightInd w:val="0"/>
        <w:snapToGrid w:val="0"/>
        <w:spacing w:line="480" w:lineRule="auto"/>
        <w:ind w:firstLine="422" w:firstLineChars="200"/>
        <w:outlineLvl w:val="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六、专利权</w:t>
      </w:r>
    </w:p>
    <w:p>
      <w:pPr>
        <w:adjustRightInd w:val="0"/>
        <w:snapToGrid w:val="0"/>
        <w:spacing w:line="480" w:lineRule="auto"/>
        <w:ind w:firstLine="48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乙方应保证甲方在使用其所提供的产品时免受第三方提出侵犯其专利权、商标权或保护期的起诉。</w:t>
      </w:r>
    </w:p>
    <w:p>
      <w:pPr>
        <w:numPr>
          <w:ilvl w:val="0"/>
          <w:numId w:val="9"/>
        </w:numPr>
        <w:adjustRightInd w:val="0"/>
        <w:snapToGrid w:val="0"/>
        <w:spacing w:line="480" w:lineRule="auto"/>
        <w:ind w:firstLine="422" w:firstLineChars="200"/>
        <w:outlineLvl w:val="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免税</w:t>
      </w:r>
    </w:p>
    <w:p>
      <w:pPr>
        <w:adjustRightInd w:val="0"/>
        <w:snapToGrid w:val="0"/>
        <w:spacing w:line="480" w:lineRule="auto"/>
        <w:outlineLvl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1.属于进口产品，用于教学和科研目的的，成交价为免税价格。</w:t>
      </w:r>
    </w:p>
    <w:p>
      <w:pPr>
        <w:adjustRightInd w:val="0"/>
        <w:snapToGrid w:val="0"/>
        <w:spacing w:line="480" w:lineRule="auto"/>
        <w:outlineLvl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2.免税产品应由甲乙双方依据海关的要求签订委托进口代理协议，确认甲乙双方的责任与义务。委托进口代理协议作为本合同的不可分割部分。</w:t>
      </w:r>
    </w:p>
    <w:p>
      <w:pPr>
        <w:adjustRightInd w:val="0"/>
        <w:snapToGrid w:val="0"/>
        <w:spacing w:line="480" w:lineRule="auto"/>
        <w:outlineLvl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3.免税产品通关时乙方必须进行商检，未商检的，造成的损失由乙方承担。</w:t>
      </w:r>
    </w:p>
    <w:p>
      <w:pPr>
        <w:adjustRightInd w:val="0"/>
        <w:snapToGrid w:val="0"/>
        <w:spacing w:line="480" w:lineRule="auto"/>
        <w:ind w:firstLine="422" w:firstLineChars="200"/>
        <w:outlineLvl w:val="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八、交货时间、地点与方式</w:t>
      </w:r>
    </w:p>
    <w:p>
      <w:pPr>
        <w:adjustRightInd w:val="0"/>
        <w:snapToGrid w:val="0"/>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1.乙方于</w:t>
      </w:r>
      <w:r>
        <w:rPr>
          <w:rFonts w:hint="eastAsia" w:asciiTheme="minorEastAsia" w:hAnsiTheme="minorEastAsia" w:eastAsiaTheme="minorEastAsia" w:cstheme="minorEastAsia"/>
          <w:b/>
          <w:bCs/>
          <w:szCs w:val="21"/>
        </w:rPr>
        <w:t>年月日</w:t>
      </w:r>
      <w:r>
        <w:rPr>
          <w:rFonts w:hint="eastAsia" w:asciiTheme="minorEastAsia" w:hAnsiTheme="minorEastAsia" w:eastAsiaTheme="minorEastAsia" w:cstheme="minorEastAsia"/>
          <w:szCs w:val="21"/>
        </w:rPr>
        <w:t>之前将货物按甲方要求在甲方指定地点交货、安装、调试完毕，并具备使用条件，未经甲方允许每推迟一天，按合同总额的千分之五扣除违约金。</w:t>
      </w:r>
    </w:p>
    <w:p>
      <w:pPr>
        <w:adjustRightInd w:val="0"/>
        <w:snapToGrid w:val="0"/>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2.乙方负责所供货物包装、运输、安装和调试，并承担所发生的费用；甲方为乙方现场安装提供水、电等便利条件。</w:t>
      </w:r>
    </w:p>
    <w:p>
      <w:pPr>
        <w:adjustRightInd w:val="0"/>
        <w:snapToGrid w:val="0"/>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3.安装过程中若发生安全事故由乙方承担。</w:t>
      </w:r>
    </w:p>
    <w:p>
      <w:pPr>
        <w:adjustRightInd w:val="0"/>
        <w:snapToGrid w:val="0"/>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4.乙方安装人员应服从甲方的管理，遵守国家法律法规和学校相关制度，否则一切后果均由乙方承担。</w:t>
      </w:r>
    </w:p>
    <w:p>
      <w:pPr>
        <w:adjustRightInd w:val="0"/>
        <w:snapToGrid w:val="0"/>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5.货物交付使用前，乙方负责对提供货物进行看管，并承担货物的丢失、损毁等风险。</w:t>
      </w:r>
    </w:p>
    <w:p>
      <w:pPr>
        <w:adjustRightInd w:val="0"/>
        <w:snapToGrid w:val="0"/>
        <w:spacing w:line="480" w:lineRule="auto"/>
        <w:ind w:firstLine="422" w:firstLineChars="200"/>
        <w:outlineLvl w:val="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九、验收方式</w:t>
      </w:r>
    </w:p>
    <w:p>
      <w:pPr>
        <w:adjustRightInd w:val="0"/>
        <w:snapToGrid w:val="0"/>
        <w:spacing w:line="480" w:lineRule="auto"/>
        <w:ind w:firstLine="420" w:firstLineChars="200"/>
        <w:outlineLvl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1.初步验收。甲方按合同所列质量标准、规格型号、技术参数以及数量等在现场验收，并填写初步验收单（详见附件4）。验收时，甲方有权提出采用技术和破坏相结合的方法。</w:t>
      </w:r>
    </w:p>
    <w:p>
      <w:pPr>
        <w:adjustRightInd w:val="0"/>
        <w:snapToGrid w:val="0"/>
        <w:spacing w:line="480" w:lineRule="auto"/>
        <w:ind w:firstLine="420" w:firstLineChars="200"/>
        <w:outlineLvl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应向甲方移交所供设备完整的使用说明书、合格证及相关资料。乙方在所有设备（工程）安装调试、软件安装完毕后，开展现场培训，使用户能够独立熟练操作使用仪器或设备，尔后由供需双方共同初步验收；甲乙双方如产生异议，由第三方重新进行验收。如果乙方提供的货物与合同不符，甲方有权拒绝验收，由此所产生的一切费用由乙方承担。</w:t>
      </w:r>
    </w:p>
    <w:p>
      <w:pPr>
        <w:adjustRightInd w:val="0"/>
        <w:snapToGrid w:val="0"/>
        <w:spacing w:line="480" w:lineRule="auto"/>
        <w:ind w:left="120" w:leftChars="57" w:firstLine="315" w:firstLineChars="150"/>
        <w:outlineLvl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2.正式验收：依据河南省财政厅“《关于加强政府采购合同监督管理工作的通知》豫财购[2010] 24号”文件要求，政府采购合同金额100万元以上的货物采购项目，由使用单位初验合格后，向学校国有资产管理处提出验收申请，由国有资产管理处牵头，会同财务、审计、监察、资产管理及专家成立验收专家组进行正式验收。学校验收通过后，才能支付合同款项。</w:t>
      </w:r>
    </w:p>
    <w:p>
      <w:pPr>
        <w:adjustRightInd w:val="0"/>
        <w:snapToGrid w:val="0"/>
        <w:spacing w:line="480" w:lineRule="auto"/>
        <w:ind w:firstLine="422" w:firstLineChars="200"/>
        <w:outlineLvl w:val="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十、付款方式</w:t>
      </w:r>
    </w:p>
    <w:p>
      <w:pPr>
        <w:adjustRightInd w:val="0"/>
        <w:snapToGrid w:val="0"/>
        <w:spacing w:line="480" w:lineRule="auto"/>
        <w:ind w:left="48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1.本合同总价款（大写）为：</w:t>
      </w:r>
      <w:r>
        <w:rPr>
          <w:rFonts w:hint="eastAsia" w:asciiTheme="minorEastAsia" w:hAnsiTheme="minorEastAsia" w:eastAsiaTheme="minorEastAsia" w:cstheme="minorEastAsia"/>
          <w:b/>
          <w:bCs/>
          <w:kern w:val="0"/>
          <w:szCs w:val="21"/>
          <w:u w:val="single"/>
        </w:rPr>
        <w:t xml:space="preserve">                 （小写：￥     元）</w:t>
      </w:r>
      <w:r>
        <w:rPr>
          <w:rFonts w:hint="eastAsia" w:asciiTheme="minorEastAsia" w:hAnsiTheme="minorEastAsia" w:eastAsiaTheme="minorEastAsia" w:cstheme="minorEastAsia"/>
          <w:szCs w:val="21"/>
        </w:rPr>
        <w:t>。</w:t>
      </w:r>
    </w:p>
    <w:p>
      <w:pPr>
        <w:adjustRightInd w:val="0"/>
        <w:snapToGrid w:val="0"/>
        <w:spacing w:line="480" w:lineRule="auto"/>
        <w:ind w:left="1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2.付款方式：</w:t>
      </w:r>
    </w:p>
    <w:p>
      <w:pPr>
        <w:adjustRightInd w:val="0"/>
        <w:snapToGrid w:val="0"/>
        <w:spacing w:line="480" w:lineRule="auto"/>
        <w:ind w:firstLine="422" w:firstLineChars="200"/>
        <w:outlineLvl w:val="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十一、违约责任</w:t>
      </w:r>
    </w:p>
    <w:p>
      <w:pPr>
        <w:adjustRightInd w:val="0"/>
        <w:snapToGrid w:val="0"/>
        <w:spacing w:line="480" w:lineRule="auto"/>
        <w:ind w:firstLine="403" w:firstLineChars="192"/>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所交的货物产地、品牌、型号、规格、质量以及技术标准、数量等不符合合同要求，甲方有权拒收，由此产生的一切费用由乙方负责；因货物更换而造成逾期交货，则按逾期交货处理，乙方应向甲方每天支付合同标的总额日千分之五的违约金。甲方无正当理由拒收设备，应向供方偿付拒收设备款额百分之五的违约金。</w:t>
      </w:r>
    </w:p>
    <w:p>
      <w:pPr>
        <w:adjustRightInd w:val="0"/>
        <w:snapToGrid w:val="0"/>
        <w:spacing w:line="480" w:lineRule="auto"/>
        <w:ind w:firstLine="403" w:firstLineChars="192"/>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甲方逾期付款，应向乙方支付本合同标的总额日万分之四的违约金。</w:t>
      </w:r>
    </w:p>
    <w:p>
      <w:pPr>
        <w:adjustRightInd w:val="0"/>
        <w:snapToGrid w:val="0"/>
        <w:spacing w:line="480" w:lineRule="auto"/>
        <w:ind w:firstLine="422" w:firstLineChars="200"/>
        <w:outlineLvl w:val="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十二、其它</w:t>
      </w:r>
    </w:p>
    <w:p>
      <w:pPr>
        <w:adjustRightInd w:val="0"/>
        <w:snapToGrid w:val="0"/>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1.组成本合同的文件及解释顺序为：投标书及其附件、本合同及补充条款；磋商文件及补充通知；成交通知书；国家、行业或企业（以最高的为准）标准、规范及有关技术文件。</w:t>
      </w:r>
    </w:p>
    <w:p>
      <w:pPr>
        <w:adjustRightInd w:val="0"/>
        <w:snapToGrid w:val="0"/>
        <w:spacing w:line="480" w:lineRule="auto"/>
        <w:ind w:firstLine="525" w:firstLineChars="2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2.双方在执行合同时产生纠纷，协商解决；协商不成，向甲方所在地人民法院提起诉讼。</w:t>
      </w:r>
    </w:p>
    <w:p>
      <w:pPr>
        <w:adjustRightInd w:val="0"/>
        <w:snapToGrid w:val="0"/>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3.本合同共    页，一式八份，甲方执四份，乙方执二份，招标公司执二份。</w:t>
      </w:r>
    </w:p>
    <w:p>
      <w:pPr>
        <w:adjustRightInd w:val="0"/>
        <w:snapToGrid w:val="0"/>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4.本合同未尽事宜，供需双方可签订补充协议，与本合同具有同等法律效力。</w:t>
      </w:r>
    </w:p>
    <w:p>
      <w:pPr>
        <w:adjustRightInd w:val="0"/>
        <w:snapToGrid w:val="0"/>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5.合同有效期：本合同双方签字盖章后生效，合同签署之日起至合同内容执行完毕为本合同有效期。                              </w:t>
      </w:r>
    </w:p>
    <w:p>
      <w:pPr>
        <w:snapToGrid w:val="0"/>
        <w:spacing w:line="48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甲方：                               乙方： </w:t>
      </w:r>
    </w:p>
    <w:p>
      <w:pPr>
        <w:snapToGrid w:val="0"/>
        <w:spacing w:line="48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地址：                               地址: </w:t>
      </w:r>
    </w:p>
    <w:p>
      <w:pPr>
        <w:snapToGrid w:val="0"/>
        <w:spacing w:line="48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签字代表（或委托代理人）：            签字代表：</w:t>
      </w:r>
    </w:p>
    <w:p>
      <w:pPr>
        <w:tabs>
          <w:tab w:val="left" w:pos="4860"/>
        </w:tabs>
        <w:autoSpaceDE w:val="0"/>
        <w:autoSpaceDN w:val="0"/>
        <w:adjustRightInd w:val="0"/>
        <w:snapToGrid w:val="0"/>
        <w:spacing w:line="480" w:lineRule="auto"/>
        <w:jc w:val="left"/>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szCs w:val="21"/>
        </w:rPr>
        <w:t>电话：                              电话：</w:t>
      </w:r>
    </w:p>
    <w:p>
      <w:pPr>
        <w:snapToGrid w:val="0"/>
        <w:spacing w:line="480" w:lineRule="auto"/>
        <w:ind w:firstLine="1054" w:firstLineChars="500"/>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 xml:space="preserve">                          开户银行：</w:t>
      </w:r>
    </w:p>
    <w:p>
      <w:pPr>
        <w:autoSpaceDE w:val="0"/>
        <w:autoSpaceDN w:val="0"/>
        <w:adjustRightInd w:val="0"/>
        <w:snapToGrid w:val="0"/>
        <w:spacing w:line="480" w:lineRule="auto"/>
        <w:ind w:firstLine="632" w:firstLineChars="300"/>
        <w:jc w:val="left"/>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 xml:space="preserve">                              账号：</w:t>
      </w:r>
    </w:p>
    <w:p>
      <w:pPr>
        <w:snapToGrid w:val="0"/>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合同签署日期：       年    月    日                </w:t>
      </w:r>
    </w:p>
    <w:p>
      <w:pPr>
        <w:spacing w:line="360" w:lineRule="auto"/>
        <w:rPr>
          <w:rFonts w:asciiTheme="minorEastAsia" w:hAnsiTheme="minorEastAsia" w:eastAsiaTheme="minorEastAsia" w:cstheme="minorEastAsia"/>
          <w:b/>
          <w:bCs/>
          <w:szCs w:val="21"/>
        </w:rPr>
      </w:pPr>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备注：此为合同模板，仅供参考。</w:t>
      </w:r>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sectPr>
          <w:headerReference r:id="rId8" w:type="default"/>
          <w:footerReference r:id="rId9" w:type="default"/>
          <w:pgSz w:w="11906" w:h="16838"/>
          <w:pgMar w:top="1418" w:right="1418" w:bottom="1418" w:left="1701" w:header="851" w:footer="992" w:gutter="0"/>
          <w:cols w:space="720" w:num="1"/>
          <w:docGrid w:type="lines" w:linePitch="312" w:charSpace="0"/>
        </w:sect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附件1： </w:t>
      </w:r>
    </w:p>
    <w:tbl>
      <w:tblPr>
        <w:tblStyle w:val="29"/>
        <w:tblpPr w:leftFromText="180" w:rightFromText="180" w:vertAnchor="text" w:horzAnchor="page" w:tblpX="1566" w:tblpY="62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1671"/>
        <w:gridCol w:w="1260"/>
        <w:gridCol w:w="1620"/>
        <w:gridCol w:w="2160"/>
        <w:gridCol w:w="1461"/>
        <w:gridCol w:w="1239"/>
        <w:gridCol w:w="1440"/>
        <w:gridCol w:w="16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blHeader/>
        </w:trPr>
        <w:tc>
          <w:tcPr>
            <w:tcW w:w="777" w:type="dxa"/>
            <w:noWrap/>
            <w:vAlign w:val="center"/>
          </w:tcPr>
          <w:p>
            <w:pPr>
              <w:spacing w:line="300" w:lineRule="exac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序号</w:t>
            </w:r>
          </w:p>
        </w:tc>
        <w:tc>
          <w:tcPr>
            <w:tcW w:w="1671" w:type="dxa"/>
            <w:noWrap/>
            <w:vAlign w:val="center"/>
          </w:tcPr>
          <w:p>
            <w:pPr>
              <w:spacing w:line="300" w:lineRule="exact"/>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设备名称</w:t>
            </w:r>
          </w:p>
        </w:tc>
        <w:tc>
          <w:tcPr>
            <w:tcW w:w="1260" w:type="dxa"/>
            <w:noWrap/>
            <w:vAlign w:val="center"/>
          </w:tcPr>
          <w:p>
            <w:pPr>
              <w:spacing w:line="300" w:lineRule="exact"/>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品牌型号</w:t>
            </w:r>
          </w:p>
        </w:tc>
        <w:tc>
          <w:tcPr>
            <w:tcW w:w="1620" w:type="dxa"/>
            <w:noWrap/>
            <w:vAlign w:val="center"/>
          </w:tcPr>
          <w:p>
            <w:pPr>
              <w:spacing w:line="300" w:lineRule="exact"/>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制造厂（商）</w:t>
            </w:r>
          </w:p>
        </w:tc>
        <w:tc>
          <w:tcPr>
            <w:tcW w:w="2160" w:type="dxa"/>
            <w:noWrap/>
            <w:vAlign w:val="center"/>
          </w:tcPr>
          <w:p>
            <w:pPr>
              <w:spacing w:line="300" w:lineRule="exact"/>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原产地（国）</w:t>
            </w:r>
          </w:p>
        </w:tc>
        <w:tc>
          <w:tcPr>
            <w:tcW w:w="1461" w:type="dxa"/>
            <w:noWrap/>
            <w:vAlign w:val="center"/>
          </w:tcPr>
          <w:p>
            <w:pPr>
              <w:spacing w:line="300" w:lineRule="exact"/>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数量</w:t>
            </w:r>
          </w:p>
        </w:tc>
        <w:tc>
          <w:tcPr>
            <w:tcW w:w="1239" w:type="dxa"/>
            <w:noWrap/>
            <w:vAlign w:val="center"/>
          </w:tcPr>
          <w:p>
            <w:pPr>
              <w:spacing w:line="300" w:lineRule="exact"/>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单价</w:t>
            </w:r>
          </w:p>
        </w:tc>
        <w:tc>
          <w:tcPr>
            <w:tcW w:w="1440" w:type="dxa"/>
            <w:noWrap/>
            <w:vAlign w:val="center"/>
          </w:tcPr>
          <w:p>
            <w:pPr>
              <w:spacing w:line="300" w:lineRule="exact"/>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合价</w:t>
            </w:r>
          </w:p>
        </w:tc>
        <w:tc>
          <w:tcPr>
            <w:tcW w:w="1689" w:type="dxa"/>
            <w:noWrap/>
            <w:vAlign w:val="center"/>
          </w:tcPr>
          <w:p>
            <w:pPr>
              <w:spacing w:line="300" w:lineRule="exact"/>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77" w:type="dxa"/>
            <w:noWrap/>
            <w:vAlign w:val="center"/>
          </w:tcPr>
          <w:p>
            <w:pPr>
              <w:spacing w:line="300" w:lineRule="exact"/>
              <w:ind w:firstLine="210" w:firstLineChars="1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1671" w:type="dxa"/>
            <w:noWrap/>
            <w:vAlign w:val="center"/>
          </w:tcPr>
          <w:p>
            <w:pPr>
              <w:spacing w:line="300" w:lineRule="exact"/>
              <w:jc w:val="center"/>
              <w:rPr>
                <w:rFonts w:asciiTheme="minorEastAsia" w:hAnsiTheme="minorEastAsia" w:eastAsiaTheme="minorEastAsia" w:cstheme="minorEastAsia"/>
                <w:szCs w:val="21"/>
              </w:rPr>
            </w:pPr>
          </w:p>
        </w:tc>
        <w:tc>
          <w:tcPr>
            <w:tcW w:w="1260" w:type="dxa"/>
            <w:noWrap/>
            <w:vAlign w:val="center"/>
          </w:tcPr>
          <w:p>
            <w:pPr>
              <w:spacing w:line="300" w:lineRule="exact"/>
              <w:ind w:firstLine="210"/>
              <w:rPr>
                <w:rFonts w:asciiTheme="minorEastAsia" w:hAnsiTheme="minorEastAsia" w:eastAsiaTheme="minorEastAsia" w:cstheme="minorEastAsia"/>
                <w:szCs w:val="21"/>
              </w:rPr>
            </w:pPr>
          </w:p>
        </w:tc>
        <w:tc>
          <w:tcPr>
            <w:tcW w:w="1620" w:type="dxa"/>
            <w:noWrap/>
            <w:vAlign w:val="center"/>
          </w:tcPr>
          <w:p>
            <w:pPr>
              <w:spacing w:line="300" w:lineRule="exact"/>
              <w:ind w:firstLine="210"/>
              <w:rPr>
                <w:rFonts w:asciiTheme="minorEastAsia" w:hAnsiTheme="minorEastAsia" w:eastAsiaTheme="minorEastAsia" w:cstheme="minorEastAsia"/>
                <w:szCs w:val="21"/>
              </w:rPr>
            </w:pPr>
          </w:p>
        </w:tc>
        <w:tc>
          <w:tcPr>
            <w:tcW w:w="2160" w:type="dxa"/>
            <w:noWrap/>
            <w:vAlign w:val="center"/>
          </w:tcPr>
          <w:p>
            <w:pPr>
              <w:spacing w:line="300" w:lineRule="exact"/>
              <w:ind w:firstLine="210"/>
              <w:rPr>
                <w:rFonts w:asciiTheme="minorEastAsia" w:hAnsiTheme="minorEastAsia" w:eastAsiaTheme="minorEastAsia" w:cstheme="minorEastAsia"/>
                <w:szCs w:val="21"/>
              </w:rPr>
            </w:pPr>
          </w:p>
        </w:tc>
        <w:tc>
          <w:tcPr>
            <w:tcW w:w="1461" w:type="dxa"/>
            <w:noWrap/>
            <w:vAlign w:val="center"/>
          </w:tcPr>
          <w:p>
            <w:pPr>
              <w:spacing w:line="300" w:lineRule="exact"/>
              <w:rPr>
                <w:rFonts w:asciiTheme="minorEastAsia" w:hAnsiTheme="minorEastAsia" w:eastAsiaTheme="minorEastAsia" w:cstheme="minorEastAsia"/>
                <w:szCs w:val="21"/>
              </w:rPr>
            </w:pPr>
          </w:p>
        </w:tc>
        <w:tc>
          <w:tcPr>
            <w:tcW w:w="1239" w:type="dxa"/>
            <w:noWrap/>
            <w:vAlign w:val="center"/>
          </w:tcPr>
          <w:p>
            <w:pPr>
              <w:jc w:val="center"/>
              <w:rPr>
                <w:rFonts w:asciiTheme="minorEastAsia" w:hAnsiTheme="minorEastAsia" w:eastAsiaTheme="minorEastAsia" w:cstheme="minorEastAsia"/>
                <w:szCs w:val="21"/>
              </w:rPr>
            </w:pPr>
          </w:p>
        </w:tc>
        <w:tc>
          <w:tcPr>
            <w:tcW w:w="1440" w:type="dxa"/>
            <w:noWrap/>
            <w:vAlign w:val="center"/>
          </w:tcPr>
          <w:p>
            <w:pPr>
              <w:jc w:val="center"/>
              <w:rPr>
                <w:rFonts w:asciiTheme="minorEastAsia" w:hAnsiTheme="minorEastAsia" w:eastAsiaTheme="minorEastAsia" w:cstheme="minorEastAsia"/>
                <w:szCs w:val="21"/>
              </w:rPr>
            </w:pPr>
          </w:p>
        </w:tc>
        <w:tc>
          <w:tcPr>
            <w:tcW w:w="1689" w:type="dxa"/>
            <w:noWrap/>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是否免税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77" w:type="dxa"/>
            <w:noWrap/>
            <w:vAlign w:val="center"/>
          </w:tcPr>
          <w:p>
            <w:pPr>
              <w:spacing w:line="300" w:lineRule="exact"/>
              <w:ind w:firstLine="210" w:firstLineChars="1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1671" w:type="dxa"/>
            <w:noWrap/>
            <w:vAlign w:val="center"/>
          </w:tcPr>
          <w:p>
            <w:pPr>
              <w:spacing w:line="300" w:lineRule="exact"/>
              <w:jc w:val="center"/>
              <w:rPr>
                <w:rFonts w:asciiTheme="minorEastAsia" w:hAnsiTheme="minorEastAsia" w:eastAsiaTheme="minorEastAsia" w:cstheme="minorEastAsia"/>
                <w:szCs w:val="21"/>
              </w:rPr>
            </w:pPr>
          </w:p>
        </w:tc>
        <w:tc>
          <w:tcPr>
            <w:tcW w:w="1260" w:type="dxa"/>
            <w:noWrap/>
            <w:vAlign w:val="center"/>
          </w:tcPr>
          <w:p>
            <w:pPr>
              <w:spacing w:line="300" w:lineRule="exact"/>
              <w:ind w:firstLine="210"/>
              <w:rPr>
                <w:rFonts w:asciiTheme="minorEastAsia" w:hAnsiTheme="minorEastAsia" w:eastAsiaTheme="minorEastAsia" w:cstheme="minorEastAsia"/>
                <w:szCs w:val="21"/>
              </w:rPr>
            </w:pPr>
          </w:p>
        </w:tc>
        <w:tc>
          <w:tcPr>
            <w:tcW w:w="1620" w:type="dxa"/>
            <w:noWrap/>
            <w:vAlign w:val="center"/>
          </w:tcPr>
          <w:p>
            <w:pPr>
              <w:spacing w:line="300" w:lineRule="exact"/>
              <w:ind w:firstLine="210"/>
              <w:rPr>
                <w:rFonts w:asciiTheme="minorEastAsia" w:hAnsiTheme="minorEastAsia" w:eastAsiaTheme="minorEastAsia" w:cstheme="minorEastAsia"/>
                <w:szCs w:val="21"/>
              </w:rPr>
            </w:pPr>
          </w:p>
        </w:tc>
        <w:tc>
          <w:tcPr>
            <w:tcW w:w="2160" w:type="dxa"/>
            <w:noWrap/>
            <w:vAlign w:val="center"/>
          </w:tcPr>
          <w:p>
            <w:pPr>
              <w:spacing w:line="300" w:lineRule="exact"/>
              <w:ind w:firstLine="210"/>
              <w:rPr>
                <w:rFonts w:asciiTheme="minorEastAsia" w:hAnsiTheme="minorEastAsia" w:eastAsiaTheme="minorEastAsia" w:cstheme="minorEastAsia"/>
                <w:szCs w:val="21"/>
              </w:rPr>
            </w:pPr>
          </w:p>
        </w:tc>
        <w:tc>
          <w:tcPr>
            <w:tcW w:w="1461" w:type="dxa"/>
            <w:noWrap/>
            <w:vAlign w:val="center"/>
          </w:tcPr>
          <w:p>
            <w:pPr>
              <w:spacing w:line="300" w:lineRule="exact"/>
              <w:rPr>
                <w:rFonts w:asciiTheme="minorEastAsia" w:hAnsiTheme="minorEastAsia" w:eastAsiaTheme="minorEastAsia" w:cstheme="minorEastAsia"/>
                <w:szCs w:val="21"/>
              </w:rPr>
            </w:pPr>
          </w:p>
        </w:tc>
        <w:tc>
          <w:tcPr>
            <w:tcW w:w="1239" w:type="dxa"/>
            <w:noWrap/>
            <w:vAlign w:val="center"/>
          </w:tcPr>
          <w:p>
            <w:pPr>
              <w:jc w:val="center"/>
              <w:rPr>
                <w:rFonts w:asciiTheme="minorEastAsia" w:hAnsiTheme="minorEastAsia" w:eastAsiaTheme="minorEastAsia" w:cstheme="minorEastAsia"/>
                <w:szCs w:val="21"/>
              </w:rPr>
            </w:pPr>
          </w:p>
        </w:tc>
        <w:tc>
          <w:tcPr>
            <w:tcW w:w="1440" w:type="dxa"/>
            <w:noWrap/>
            <w:vAlign w:val="center"/>
          </w:tcPr>
          <w:p>
            <w:pPr>
              <w:jc w:val="center"/>
              <w:rPr>
                <w:rFonts w:asciiTheme="minorEastAsia" w:hAnsiTheme="minorEastAsia" w:eastAsiaTheme="minorEastAsia" w:cstheme="minorEastAsia"/>
                <w:szCs w:val="21"/>
              </w:rPr>
            </w:pPr>
          </w:p>
        </w:tc>
        <w:tc>
          <w:tcPr>
            <w:tcW w:w="1689" w:type="dxa"/>
            <w:noWrap/>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77" w:type="dxa"/>
            <w:noWrap/>
            <w:vAlign w:val="center"/>
          </w:tcPr>
          <w:p>
            <w:pPr>
              <w:spacing w:line="300" w:lineRule="exact"/>
              <w:ind w:firstLine="210" w:firstLineChars="1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1671" w:type="dxa"/>
            <w:noWrap/>
            <w:vAlign w:val="center"/>
          </w:tcPr>
          <w:p>
            <w:pPr>
              <w:spacing w:line="300" w:lineRule="exact"/>
              <w:jc w:val="center"/>
              <w:rPr>
                <w:rFonts w:asciiTheme="minorEastAsia" w:hAnsiTheme="minorEastAsia" w:eastAsiaTheme="minorEastAsia" w:cstheme="minorEastAsia"/>
                <w:szCs w:val="21"/>
              </w:rPr>
            </w:pPr>
          </w:p>
        </w:tc>
        <w:tc>
          <w:tcPr>
            <w:tcW w:w="1260" w:type="dxa"/>
            <w:noWrap/>
            <w:vAlign w:val="center"/>
          </w:tcPr>
          <w:p>
            <w:pPr>
              <w:spacing w:line="300" w:lineRule="exact"/>
              <w:ind w:firstLine="210"/>
              <w:rPr>
                <w:rFonts w:asciiTheme="minorEastAsia" w:hAnsiTheme="minorEastAsia" w:eastAsiaTheme="minorEastAsia" w:cstheme="minorEastAsia"/>
                <w:szCs w:val="21"/>
              </w:rPr>
            </w:pPr>
          </w:p>
        </w:tc>
        <w:tc>
          <w:tcPr>
            <w:tcW w:w="1620" w:type="dxa"/>
            <w:noWrap/>
            <w:vAlign w:val="center"/>
          </w:tcPr>
          <w:p>
            <w:pPr>
              <w:spacing w:line="300" w:lineRule="exact"/>
              <w:ind w:firstLine="210"/>
              <w:rPr>
                <w:rFonts w:asciiTheme="minorEastAsia" w:hAnsiTheme="minorEastAsia" w:eastAsiaTheme="minorEastAsia" w:cstheme="minorEastAsia"/>
                <w:szCs w:val="21"/>
              </w:rPr>
            </w:pPr>
          </w:p>
        </w:tc>
        <w:tc>
          <w:tcPr>
            <w:tcW w:w="2160" w:type="dxa"/>
            <w:noWrap/>
            <w:vAlign w:val="center"/>
          </w:tcPr>
          <w:p>
            <w:pPr>
              <w:spacing w:line="300" w:lineRule="exact"/>
              <w:ind w:firstLine="210"/>
              <w:rPr>
                <w:rFonts w:asciiTheme="minorEastAsia" w:hAnsiTheme="minorEastAsia" w:eastAsiaTheme="minorEastAsia" w:cstheme="minorEastAsia"/>
                <w:szCs w:val="21"/>
              </w:rPr>
            </w:pPr>
          </w:p>
        </w:tc>
        <w:tc>
          <w:tcPr>
            <w:tcW w:w="1461" w:type="dxa"/>
            <w:noWrap/>
            <w:vAlign w:val="center"/>
          </w:tcPr>
          <w:p>
            <w:pPr>
              <w:spacing w:line="300" w:lineRule="exact"/>
              <w:rPr>
                <w:rFonts w:asciiTheme="minorEastAsia" w:hAnsiTheme="minorEastAsia" w:eastAsiaTheme="minorEastAsia" w:cstheme="minorEastAsia"/>
                <w:szCs w:val="21"/>
              </w:rPr>
            </w:pPr>
          </w:p>
        </w:tc>
        <w:tc>
          <w:tcPr>
            <w:tcW w:w="1239" w:type="dxa"/>
            <w:noWrap/>
            <w:vAlign w:val="center"/>
          </w:tcPr>
          <w:p>
            <w:pPr>
              <w:jc w:val="center"/>
              <w:rPr>
                <w:rFonts w:asciiTheme="minorEastAsia" w:hAnsiTheme="minorEastAsia" w:eastAsiaTheme="minorEastAsia" w:cstheme="minorEastAsia"/>
                <w:szCs w:val="21"/>
              </w:rPr>
            </w:pPr>
          </w:p>
        </w:tc>
        <w:tc>
          <w:tcPr>
            <w:tcW w:w="1440" w:type="dxa"/>
            <w:noWrap/>
            <w:vAlign w:val="center"/>
          </w:tcPr>
          <w:p>
            <w:pPr>
              <w:jc w:val="center"/>
              <w:rPr>
                <w:rFonts w:asciiTheme="minorEastAsia" w:hAnsiTheme="minorEastAsia" w:eastAsiaTheme="minorEastAsia" w:cstheme="minorEastAsia"/>
                <w:szCs w:val="21"/>
              </w:rPr>
            </w:pPr>
          </w:p>
        </w:tc>
        <w:tc>
          <w:tcPr>
            <w:tcW w:w="1689" w:type="dxa"/>
            <w:noWrap/>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77" w:type="dxa"/>
            <w:noWrap/>
            <w:vAlign w:val="center"/>
          </w:tcPr>
          <w:p>
            <w:pPr>
              <w:spacing w:line="300" w:lineRule="exact"/>
              <w:ind w:firstLine="210" w:firstLineChars="1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1671" w:type="dxa"/>
            <w:noWrap/>
            <w:vAlign w:val="center"/>
          </w:tcPr>
          <w:p>
            <w:pPr>
              <w:spacing w:line="300" w:lineRule="exact"/>
              <w:jc w:val="center"/>
              <w:rPr>
                <w:rFonts w:asciiTheme="minorEastAsia" w:hAnsiTheme="minorEastAsia" w:eastAsiaTheme="minorEastAsia" w:cstheme="minorEastAsia"/>
                <w:szCs w:val="21"/>
              </w:rPr>
            </w:pPr>
          </w:p>
        </w:tc>
        <w:tc>
          <w:tcPr>
            <w:tcW w:w="1260" w:type="dxa"/>
            <w:noWrap/>
            <w:vAlign w:val="center"/>
          </w:tcPr>
          <w:p>
            <w:pPr>
              <w:spacing w:line="300" w:lineRule="exact"/>
              <w:ind w:firstLine="210"/>
              <w:rPr>
                <w:rFonts w:asciiTheme="minorEastAsia" w:hAnsiTheme="minorEastAsia" w:eastAsiaTheme="minorEastAsia" w:cstheme="minorEastAsia"/>
                <w:szCs w:val="21"/>
              </w:rPr>
            </w:pPr>
          </w:p>
        </w:tc>
        <w:tc>
          <w:tcPr>
            <w:tcW w:w="1620" w:type="dxa"/>
            <w:noWrap/>
            <w:vAlign w:val="center"/>
          </w:tcPr>
          <w:p>
            <w:pPr>
              <w:spacing w:line="300" w:lineRule="exact"/>
              <w:ind w:firstLine="210"/>
              <w:rPr>
                <w:rFonts w:asciiTheme="minorEastAsia" w:hAnsiTheme="minorEastAsia" w:eastAsiaTheme="minorEastAsia" w:cstheme="minorEastAsia"/>
                <w:szCs w:val="21"/>
              </w:rPr>
            </w:pPr>
          </w:p>
        </w:tc>
        <w:tc>
          <w:tcPr>
            <w:tcW w:w="2160" w:type="dxa"/>
            <w:noWrap/>
            <w:vAlign w:val="center"/>
          </w:tcPr>
          <w:p>
            <w:pPr>
              <w:spacing w:line="300" w:lineRule="exact"/>
              <w:ind w:firstLine="210"/>
              <w:rPr>
                <w:rFonts w:asciiTheme="minorEastAsia" w:hAnsiTheme="minorEastAsia" w:eastAsiaTheme="minorEastAsia" w:cstheme="minorEastAsia"/>
                <w:szCs w:val="21"/>
              </w:rPr>
            </w:pPr>
          </w:p>
        </w:tc>
        <w:tc>
          <w:tcPr>
            <w:tcW w:w="1461" w:type="dxa"/>
            <w:noWrap/>
            <w:vAlign w:val="center"/>
          </w:tcPr>
          <w:p>
            <w:pPr>
              <w:spacing w:line="300" w:lineRule="exact"/>
              <w:rPr>
                <w:rFonts w:asciiTheme="minorEastAsia" w:hAnsiTheme="minorEastAsia" w:eastAsiaTheme="minorEastAsia" w:cstheme="minorEastAsia"/>
                <w:szCs w:val="21"/>
              </w:rPr>
            </w:pPr>
          </w:p>
        </w:tc>
        <w:tc>
          <w:tcPr>
            <w:tcW w:w="1239" w:type="dxa"/>
            <w:noWrap/>
            <w:vAlign w:val="center"/>
          </w:tcPr>
          <w:p>
            <w:pPr>
              <w:jc w:val="center"/>
              <w:rPr>
                <w:rFonts w:asciiTheme="minorEastAsia" w:hAnsiTheme="minorEastAsia" w:eastAsiaTheme="minorEastAsia" w:cstheme="minorEastAsia"/>
                <w:szCs w:val="21"/>
              </w:rPr>
            </w:pPr>
          </w:p>
        </w:tc>
        <w:tc>
          <w:tcPr>
            <w:tcW w:w="1440" w:type="dxa"/>
            <w:noWrap/>
            <w:vAlign w:val="center"/>
          </w:tcPr>
          <w:p>
            <w:pPr>
              <w:jc w:val="center"/>
              <w:rPr>
                <w:rFonts w:asciiTheme="minorEastAsia" w:hAnsiTheme="minorEastAsia" w:eastAsiaTheme="minorEastAsia" w:cstheme="minorEastAsia"/>
                <w:szCs w:val="21"/>
              </w:rPr>
            </w:pPr>
          </w:p>
        </w:tc>
        <w:tc>
          <w:tcPr>
            <w:tcW w:w="1689" w:type="dxa"/>
            <w:noWrap/>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77" w:type="dxa"/>
            <w:noWrap/>
            <w:vAlign w:val="center"/>
          </w:tcPr>
          <w:p>
            <w:pPr>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p>
        </w:tc>
        <w:tc>
          <w:tcPr>
            <w:tcW w:w="1671" w:type="dxa"/>
            <w:noWrap/>
            <w:vAlign w:val="center"/>
          </w:tcPr>
          <w:p>
            <w:pPr>
              <w:spacing w:line="300" w:lineRule="exact"/>
              <w:jc w:val="center"/>
              <w:rPr>
                <w:rFonts w:asciiTheme="minorEastAsia" w:hAnsiTheme="minorEastAsia" w:eastAsiaTheme="minorEastAsia" w:cstheme="minorEastAsia"/>
                <w:szCs w:val="21"/>
              </w:rPr>
            </w:pPr>
          </w:p>
        </w:tc>
        <w:tc>
          <w:tcPr>
            <w:tcW w:w="1260" w:type="dxa"/>
            <w:noWrap/>
            <w:vAlign w:val="center"/>
          </w:tcPr>
          <w:p>
            <w:pPr>
              <w:spacing w:line="300" w:lineRule="exact"/>
              <w:ind w:firstLine="210"/>
              <w:rPr>
                <w:rFonts w:asciiTheme="minorEastAsia" w:hAnsiTheme="minorEastAsia" w:eastAsiaTheme="minorEastAsia" w:cstheme="minorEastAsia"/>
                <w:szCs w:val="21"/>
              </w:rPr>
            </w:pPr>
          </w:p>
        </w:tc>
        <w:tc>
          <w:tcPr>
            <w:tcW w:w="1620" w:type="dxa"/>
            <w:noWrap/>
            <w:vAlign w:val="center"/>
          </w:tcPr>
          <w:p>
            <w:pPr>
              <w:spacing w:line="300" w:lineRule="exact"/>
              <w:ind w:firstLine="210"/>
              <w:rPr>
                <w:rFonts w:asciiTheme="minorEastAsia" w:hAnsiTheme="minorEastAsia" w:eastAsiaTheme="minorEastAsia" w:cstheme="minorEastAsia"/>
                <w:szCs w:val="21"/>
              </w:rPr>
            </w:pPr>
          </w:p>
        </w:tc>
        <w:tc>
          <w:tcPr>
            <w:tcW w:w="2160" w:type="dxa"/>
            <w:noWrap/>
            <w:vAlign w:val="center"/>
          </w:tcPr>
          <w:p>
            <w:pPr>
              <w:spacing w:line="300" w:lineRule="exact"/>
              <w:ind w:firstLine="210"/>
              <w:rPr>
                <w:rFonts w:asciiTheme="minorEastAsia" w:hAnsiTheme="minorEastAsia" w:eastAsiaTheme="minorEastAsia" w:cstheme="minorEastAsia"/>
                <w:szCs w:val="21"/>
              </w:rPr>
            </w:pPr>
          </w:p>
        </w:tc>
        <w:tc>
          <w:tcPr>
            <w:tcW w:w="1461" w:type="dxa"/>
            <w:noWrap/>
            <w:vAlign w:val="center"/>
          </w:tcPr>
          <w:p>
            <w:pPr>
              <w:spacing w:line="300" w:lineRule="exact"/>
              <w:rPr>
                <w:rFonts w:asciiTheme="minorEastAsia" w:hAnsiTheme="minorEastAsia" w:eastAsiaTheme="minorEastAsia" w:cstheme="minorEastAsia"/>
                <w:szCs w:val="21"/>
              </w:rPr>
            </w:pPr>
          </w:p>
        </w:tc>
        <w:tc>
          <w:tcPr>
            <w:tcW w:w="1239" w:type="dxa"/>
            <w:noWrap/>
            <w:vAlign w:val="center"/>
          </w:tcPr>
          <w:p>
            <w:pPr>
              <w:jc w:val="center"/>
              <w:rPr>
                <w:rFonts w:asciiTheme="minorEastAsia" w:hAnsiTheme="minorEastAsia" w:eastAsiaTheme="minorEastAsia" w:cstheme="minorEastAsia"/>
                <w:szCs w:val="21"/>
              </w:rPr>
            </w:pPr>
          </w:p>
        </w:tc>
        <w:tc>
          <w:tcPr>
            <w:tcW w:w="1440" w:type="dxa"/>
            <w:noWrap/>
            <w:vAlign w:val="center"/>
          </w:tcPr>
          <w:p>
            <w:pPr>
              <w:jc w:val="center"/>
              <w:rPr>
                <w:rFonts w:asciiTheme="minorEastAsia" w:hAnsiTheme="minorEastAsia" w:eastAsiaTheme="minorEastAsia" w:cstheme="minorEastAsia"/>
                <w:szCs w:val="21"/>
              </w:rPr>
            </w:pPr>
          </w:p>
        </w:tc>
        <w:tc>
          <w:tcPr>
            <w:tcW w:w="1689" w:type="dxa"/>
            <w:noWrap/>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3317" w:type="dxa"/>
            <w:gridSpan w:val="9"/>
            <w:noWrap/>
            <w:vAlign w:val="center"/>
          </w:tcPr>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合计：  小写：￥         元     大写：人民币元整</w:t>
            </w: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               供货范围及分项价格表</w:t>
      </w:r>
      <w:r>
        <w:rPr>
          <w:rFonts w:hint="eastAsia" w:asciiTheme="minorEastAsia" w:hAnsiTheme="minorEastAsia" w:eastAsiaTheme="minorEastAsia" w:cstheme="minorEastAsia"/>
          <w:szCs w:val="21"/>
        </w:rPr>
        <w:t xml:space="preserve">                          单位：元</w:t>
      </w:r>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sectPr>
          <w:footerReference r:id="rId10" w:type="default"/>
          <w:pgSz w:w="16838" w:h="11906" w:orient="landscape"/>
          <w:pgMar w:top="1797" w:right="1440" w:bottom="1797" w:left="1440" w:header="851" w:footer="992" w:gutter="0"/>
          <w:cols w:space="720" w:num="1"/>
          <w:docGrid w:type="linesAndChars" w:linePitch="312" w:charSpace="0"/>
        </w:sect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附件2：</w:t>
      </w:r>
    </w:p>
    <w:p>
      <w:pPr>
        <w:spacing w:line="360"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设备技术规格参数、功能描述及配置清单表</w:t>
      </w:r>
    </w:p>
    <w:tbl>
      <w:tblPr>
        <w:tblStyle w:val="29"/>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4"/>
        <w:gridCol w:w="1346"/>
        <w:gridCol w:w="8374"/>
        <w:gridCol w:w="1260"/>
        <w:gridCol w:w="1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4" w:type="dxa"/>
            <w:noWrap/>
            <w:vAlign w:val="center"/>
          </w:tcPr>
          <w:p>
            <w:pPr>
              <w:spacing w:line="360"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序 号</w:t>
            </w:r>
          </w:p>
        </w:tc>
        <w:tc>
          <w:tcPr>
            <w:tcW w:w="1346" w:type="dxa"/>
            <w:noWrap/>
          </w:tcPr>
          <w:p>
            <w:pPr>
              <w:spacing w:line="360"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设备名称</w:t>
            </w:r>
          </w:p>
        </w:tc>
        <w:tc>
          <w:tcPr>
            <w:tcW w:w="8374" w:type="dxa"/>
            <w:noWrap/>
          </w:tcPr>
          <w:p>
            <w:pP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具体技术规格参数、功能描述及配置清单描述</w:t>
            </w:r>
          </w:p>
        </w:tc>
        <w:tc>
          <w:tcPr>
            <w:tcW w:w="1260" w:type="dxa"/>
            <w:noWrap/>
          </w:tcPr>
          <w:p>
            <w:pP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 单 位</w:t>
            </w:r>
          </w:p>
        </w:tc>
        <w:tc>
          <w:tcPr>
            <w:tcW w:w="1980" w:type="dxa"/>
            <w:noWrap/>
          </w:tcPr>
          <w:p>
            <w:pP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  数  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4" w:type="dxa"/>
            <w:noWrap/>
            <w:vAlign w:val="center"/>
          </w:tcPr>
          <w:p>
            <w:pPr>
              <w:spacing w:line="360"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1</w:t>
            </w:r>
          </w:p>
        </w:tc>
        <w:tc>
          <w:tcPr>
            <w:tcW w:w="1346" w:type="dxa"/>
            <w:noWrap/>
          </w:tcPr>
          <w:p>
            <w:pPr>
              <w:spacing w:line="360" w:lineRule="auto"/>
              <w:jc w:val="center"/>
              <w:rPr>
                <w:rFonts w:asciiTheme="minorEastAsia" w:hAnsiTheme="minorEastAsia" w:eastAsiaTheme="minorEastAsia" w:cstheme="minorEastAsia"/>
                <w:b/>
                <w:bCs/>
                <w:szCs w:val="21"/>
              </w:rPr>
            </w:pPr>
          </w:p>
        </w:tc>
        <w:tc>
          <w:tcPr>
            <w:tcW w:w="8374" w:type="dxa"/>
            <w:noWrap/>
          </w:tcPr>
          <w:p>
            <w:pPr>
              <w:spacing w:line="360" w:lineRule="auto"/>
              <w:rPr>
                <w:rFonts w:asciiTheme="minorEastAsia" w:hAnsiTheme="minorEastAsia" w:eastAsiaTheme="minorEastAsia" w:cstheme="minorEastAsia"/>
                <w:b/>
                <w:bCs/>
                <w:szCs w:val="21"/>
              </w:rPr>
            </w:pPr>
          </w:p>
        </w:tc>
        <w:tc>
          <w:tcPr>
            <w:tcW w:w="1260" w:type="dxa"/>
            <w:noWrap/>
          </w:tcPr>
          <w:p>
            <w:pPr>
              <w:spacing w:line="360" w:lineRule="auto"/>
              <w:rPr>
                <w:rFonts w:asciiTheme="minorEastAsia" w:hAnsiTheme="minorEastAsia" w:eastAsiaTheme="minorEastAsia" w:cstheme="minorEastAsia"/>
                <w:b/>
                <w:bCs/>
                <w:szCs w:val="21"/>
              </w:rPr>
            </w:pPr>
          </w:p>
        </w:tc>
        <w:tc>
          <w:tcPr>
            <w:tcW w:w="1980" w:type="dxa"/>
            <w:noWrap/>
          </w:tcPr>
          <w:p>
            <w:pPr>
              <w:spacing w:line="360" w:lineRule="auto"/>
              <w:rPr>
                <w:rFonts w:asciiTheme="minorEastAsia" w:hAnsiTheme="minorEastAsia" w:eastAsiaTheme="minorEastAsia" w:cstheme="minorEastAsia"/>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4" w:type="dxa"/>
            <w:noWrap/>
            <w:vAlign w:val="center"/>
          </w:tcPr>
          <w:p>
            <w:pPr>
              <w:spacing w:line="360"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w:t>
            </w:r>
          </w:p>
        </w:tc>
        <w:tc>
          <w:tcPr>
            <w:tcW w:w="1346" w:type="dxa"/>
            <w:noWrap/>
          </w:tcPr>
          <w:p>
            <w:pPr>
              <w:spacing w:line="360" w:lineRule="auto"/>
              <w:jc w:val="center"/>
              <w:rPr>
                <w:rFonts w:asciiTheme="minorEastAsia" w:hAnsiTheme="minorEastAsia" w:eastAsiaTheme="minorEastAsia" w:cstheme="minorEastAsia"/>
                <w:b/>
                <w:bCs/>
                <w:szCs w:val="21"/>
              </w:rPr>
            </w:pPr>
          </w:p>
        </w:tc>
        <w:tc>
          <w:tcPr>
            <w:tcW w:w="8374" w:type="dxa"/>
            <w:noWrap/>
          </w:tcPr>
          <w:p>
            <w:pPr>
              <w:spacing w:line="360" w:lineRule="auto"/>
              <w:rPr>
                <w:rFonts w:asciiTheme="minorEastAsia" w:hAnsiTheme="minorEastAsia" w:eastAsiaTheme="minorEastAsia" w:cstheme="minorEastAsia"/>
                <w:b/>
                <w:bCs/>
                <w:szCs w:val="21"/>
              </w:rPr>
            </w:pPr>
          </w:p>
        </w:tc>
        <w:tc>
          <w:tcPr>
            <w:tcW w:w="1260" w:type="dxa"/>
            <w:noWrap/>
          </w:tcPr>
          <w:p>
            <w:pPr>
              <w:spacing w:line="360" w:lineRule="auto"/>
              <w:rPr>
                <w:rFonts w:asciiTheme="minorEastAsia" w:hAnsiTheme="minorEastAsia" w:eastAsiaTheme="minorEastAsia" w:cstheme="minorEastAsia"/>
                <w:b/>
                <w:bCs/>
                <w:szCs w:val="21"/>
              </w:rPr>
            </w:pPr>
          </w:p>
        </w:tc>
        <w:tc>
          <w:tcPr>
            <w:tcW w:w="1980" w:type="dxa"/>
            <w:noWrap/>
          </w:tcPr>
          <w:p>
            <w:pPr>
              <w:spacing w:line="360" w:lineRule="auto"/>
              <w:rPr>
                <w:rFonts w:asciiTheme="minorEastAsia" w:hAnsiTheme="minorEastAsia" w:eastAsiaTheme="minorEastAsia" w:cstheme="minorEastAsia"/>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4" w:type="dxa"/>
            <w:noWrap/>
            <w:vAlign w:val="center"/>
          </w:tcPr>
          <w:p>
            <w:pPr>
              <w:spacing w:line="360"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3</w:t>
            </w:r>
          </w:p>
        </w:tc>
        <w:tc>
          <w:tcPr>
            <w:tcW w:w="1346" w:type="dxa"/>
            <w:noWrap/>
          </w:tcPr>
          <w:p>
            <w:pPr>
              <w:spacing w:line="360" w:lineRule="auto"/>
              <w:jc w:val="center"/>
              <w:rPr>
                <w:rFonts w:asciiTheme="minorEastAsia" w:hAnsiTheme="minorEastAsia" w:eastAsiaTheme="minorEastAsia" w:cstheme="minorEastAsia"/>
                <w:b/>
                <w:bCs/>
                <w:szCs w:val="21"/>
              </w:rPr>
            </w:pPr>
          </w:p>
        </w:tc>
        <w:tc>
          <w:tcPr>
            <w:tcW w:w="8374" w:type="dxa"/>
            <w:noWrap/>
          </w:tcPr>
          <w:p>
            <w:pPr>
              <w:spacing w:line="360" w:lineRule="auto"/>
              <w:rPr>
                <w:rFonts w:asciiTheme="minorEastAsia" w:hAnsiTheme="minorEastAsia" w:eastAsiaTheme="minorEastAsia" w:cstheme="minorEastAsia"/>
                <w:b/>
                <w:bCs/>
                <w:szCs w:val="21"/>
              </w:rPr>
            </w:pPr>
          </w:p>
        </w:tc>
        <w:tc>
          <w:tcPr>
            <w:tcW w:w="1260" w:type="dxa"/>
            <w:noWrap/>
          </w:tcPr>
          <w:p>
            <w:pPr>
              <w:spacing w:line="360" w:lineRule="auto"/>
              <w:rPr>
                <w:rFonts w:asciiTheme="minorEastAsia" w:hAnsiTheme="minorEastAsia" w:eastAsiaTheme="minorEastAsia" w:cstheme="minorEastAsia"/>
                <w:b/>
                <w:bCs/>
                <w:szCs w:val="21"/>
              </w:rPr>
            </w:pPr>
          </w:p>
        </w:tc>
        <w:tc>
          <w:tcPr>
            <w:tcW w:w="1980" w:type="dxa"/>
            <w:noWrap/>
          </w:tcPr>
          <w:p>
            <w:pPr>
              <w:spacing w:line="360" w:lineRule="auto"/>
              <w:rPr>
                <w:rFonts w:asciiTheme="minorEastAsia" w:hAnsiTheme="minorEastAsia" w:eastAsiaTheme="minorEastAsia" w:cstheme="minorEastAsia"/>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4" w:type="dxa"/>
            <w:noWrap/>
            <w:vAlign w:val="center"/>
          </w:tcPr>
          <w:p>
            <w:pPr>
              <w:spacing w:line="360"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4</w:t>
            </w:r>
          </w:p>
        </w:tc>
        <w:tc>
          <w:tcPr>
            <w:tcW w:w="1346" w:type="dxa"/>
            <w:noWrap/>
          </w:tcPr>
          <w:p>
            <w:pPr>
              <w:spacing w:line="360" w:lineRule="auto"/>
              <w:jc w:val="center"/>
              <w:rPr>
                <w:rFonts w:asciiTheme="minorEastAsia" w:hAnsiTheme="minorEastAsia" w:eastAsiaTheme="minorEastAsia" w:cstheme="minorEastAsia"/>
                <w:b/>
                <w:bCs/>
                <w:szCs w:val="21"/>
              </w:rPr>
            </w:pPr>
          </w:p>
        </w:tc>
        <w:tc>
          <w:tcPr>
            <w:tcW w:w="8374" w:type="dxa"/>
            <w:noWrap/>
          </w:tcPr>
          <w:p>
            <w:pPr>
              <w:spacing w:line="360" w:lineRule="auto"/>
              <w:rPr>
                <w:rFonts w:asciiTheme="minorEastAsia" w:hAnsiTheme="minorEastAsia" w:eastAsiaTheme="minorEastAsia" w:cstheme="minorEastAsia"/>
                <w:b/>
                <w:bCs/>
                <w:szCs w:val="21"/>
              </w:rPr>
            </w:pPr>
          </w:p>
        </w:tc>
        <w:tc>
          <w:tcPr>
            <w:tcW w:w="1260" w:type="dxa"/>
            <w:noWrap/>
          </w:tcPr>
          <w:p>
            <w:pPr>
              <w:spacing w:line="360" w:lineRule="auto"/>
              <w:rPr>
                <w:rFonts w:asciiTheme="minorEastAsia" w:hAnsiTheme="minorEastAsia" w:eastAsiaTheme="minorEastAsia" w:cstheme="minorEastAsia"/>
                <w:b/>
                <w:bCs/>
                <w:szCs w:val="21"/>
              </w:rPr>
            </w:pPr>
          </w:p>
        </w:tc>
        <w:tc>
          <w:tcPr>
            <w:tcW w:w="1980" w:type="dxa"/>
            <w:noWrap/>
          </w:tcPr>
          <w:p>
            <w:pPr>
              <w:spacing w:line="360" w:lineRule="auto"/>
              <w:rPr>
                <w:rFonts w:asciiTheme="minorEastAsia" w:hAnsiTheme="minorEastAsia" w:eastAsiaTheme="minorEastAsia" w:cstheme="minorEastAsia"/>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4" w:type="dxa"/>
            <w:noWrap/>
            <w:vAlign w:val="center"/>
          </w:tcPr>
          <w:p>
            <w:pPr>
              <w:spacing w:line="360"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5</w:t>
            </w:r>
          </w:p>
        </w:tc>
        <w:tc>
          <w:tcPr>
            <w:tcW w:w="1346" w:type="dxa"/>
            <w:noWrap/>
          </w:tcPr>
          <w:p>
            <w:pPr>
              <w:spacing w:line="360" w:lineRule="auto"/>
              <w:jc w:val="center"/>
              <w:rPr>
                <w:rFonts w:asciiTheme="minorEastAsia" w:hAnsiTheme="minorEastAsia" w:eastAsiaTheme="minorEastAsia" w:cstheme="minorEastAsia"/>
                <w:b/>
                <w:bCs/>
                <w:szCs w:val="21"/>
              </w:rPr>
            </w:pPr>
          </w:p>
        </w:tc>
        <w:tc>
          <w:tcPr>
            <w:tcW w:w="8374" w:type="dxa"/>
            <w:noWrap/>
          </w:tcPr>
          <w:p>
            <w:pPr>
              <w:spacing w:line="360" w:lineRule="auto"/>
              <w:rPr>
                <w:rFonts w:asciiTheme="minorEastAsia" w:hAnsiTheme="minorEastAsia" w:eastAsiaTheme="minorEastAsia" w:cstheme="minorEastAsia"/>
                <w:b/>
                <w:bCs/>
                <w:szCs w:val="21"/>
              </w:rPr>
            </w:pPr>
          </w:p>
        </w:tc>
        <w:tc>
          <w:tcPr>
            <w:tcW w:w="1260" w:type="dxa"/>
            <w:noWrap/>
          </w:tcPr>
          <w:p>
            <w:pPr>
              <w:spacing w:line="360" w:lineRule="auto"/>
              <w:rPr>
                <w:rFonts w:asciiTheme="minorEastAsia" w:hAnsiTheme="minorEastAsia" w:eastAsiaTheme="minorEastAsia" w:cstheme="minorEastAsia"/>
                <w:b/>
                <w:bCs/>
                <w:szCs w:val="21"/>
              </w:rPr>
            </w:pPr>
          </w:p>
        </w:tc>
        <w:tc>
          <w:tcPr>
            <w:tcW w:w="1980" w:type="dxa"/>
            <w:noWrap/>
          </w:tcPr>
          <w:p>
            <w:pPr>
              <w:spacing w:line="360" w:lineRule="auto"/>
              <w:rPr>
                <w:rFonts w:asciiTheme="minorEastAsia" w:hAnsiTheme="minorEastAsia" w:eastAsiaTheme="minorEastAsia" w:cstheme="minorEastAsia"/>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4" w:type="dxa"/>
            <w:noWrap/>
            <w:vAlign w:val="center"/>
          </w:tcPr>
          <w:p>
            <w:pPr>
              <w:spacing w:line="360"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6</w:t>
            </w:r>
          </w:p>
        </w:tc>
        <w:tc>
          <w:tcPr>
            <w:tcW w:w="1346" w:type="dxa"/>
            <w:noWrap/>
          </w:tcPr>
          <w:p>
            <w:pPr>
              <w:spacing w:line="360" w:lineRule="auto"/>
              <w:jc w:val="center"/>
              <w:rPr>
                <w:rFonts w:asciiTheme="minorEastAsia" w:hAnsiTheme="minorEastAsia" w:eastAsiaTheme="minorEastAsia" w:cstheme="minorEastAsia"/>
                <w:b/>
                <w:bCs/>
                <w:szCs w:val="21"/>
              </w:rPr>
            </w:pPr>
          </w:p>
        </w:tc>
        <w:tc>
          <w:tcPr>
            <w:tcW w:w="8374" w:type="dxa"/>
            <w:noWrap/>
          </w:tcPr>
          <w:p>
            <w:pPr>
              <w:spacing w:line="360" w:lineRule="auto"/>
              <w:rPr>
                <w:rFonts w:asciiTheme="minorEastAsia" w:hAnsiTheme="minorEastAsia" w:eastAsiaTheme="minorEastAsia" w:cstheme="minorEastAsia"/>
                <w:b/>
                <w:bCs/>
                <w:szCs w:val="21"/>
              </w:rPr>
            </w:pPr>
          </w:p>
        </w:tc>
        <w:tc>
          <w:tcPr>
            <w:tcW w:w="1260" w:type="dxa"/>
            <w:noWrap/>
          </w:tcPr>
          <w:p>
            <w:pPr>
              <w:spacing w:line="360" w:lineRule="auto"/>
              <w:rPr>
                <w:rFonts w:asciiTheme="minorEastAsia" w:hAnsiTheme="minorEastAsia" w:eastAsiaTheme="minorEastAsia" w:cstheme="minorEastAsia"/>
                <w:b/>
                <w:bCs/>
                <w:szCs w:val="21"/>
              </w:rPr>
            </w:pPr>
          </w:p>
        </w:tc>
        <w:tc>
          <w:tcPr>
            <w:tcW w:w="1980" w:type="dxa"/>
            <w:noWrap/>
          </w:tcPr>
          <w:p>
            <w:pPr>
              <w:spacing w:line="360" w:lineRule="auto"/>
              <w:rPr>
                <w:rFonts w:asciiTheme="minorEastAsia" w:hAnsiTheme="minorEastAsia" w:eastAsiaTheme="minorEastAsia" w:cstheme="minorEastAsia"/>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4" w:type="dxa"/>
            <w:noWrap/>
            <w:vAlign w:val="center"/>
          </w:tcPr>
          <w:p>
            <w:pPr>
              <w:spacing w:line="360"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7</w:t>
            </w:r>
          </w:p>
        </w:tc>
        <w:tc>
          <w:tcPr>
            <w:tcW w:w="1346" w:type="dxa"/>
            <w:noWrap/>
          </w:tcPr>
          <w:p>
            <w:pPr>
              <w:spacing w:line="360" w:lineRule="auto"/>
              <w:jc w:val="center"/>
              <w:rPr>
                <w:rFonts w:asciiTheme="minorEastAsia" w:hAnsiTheme="minorEastAsia" w:eastAsiaTheme="minorEastAsia" w:cstheme="minorEastAsia"/>
                <w:b/>
                <w:bCs/>
                <w:szCs w:val="21"/>
              </w:rPr>
            </w:pPr>
          </w:p>
        </w:tc>
        <w:tc>
          <w:tcPr>
            <w:tcW w:w="8374" w:type="dxa"/>
            <w:noWrap/>
          </w:tcPr>
          <w:p>
            <w:pPr>
              <w:spacing w:line="360" w:lineRule="auto"/>
              <w:rPr>
                <w:rFonts w:asciiTheme="minorEastAsia" w:hAnsiTheme="minorEastAsia" w:eastAsiaTheme="minorEastAsia" w:cstheme="minorEastAsia"/>
                <w:b/>
                <w:bCs/>
                <w:szCs w:val="21"/>
              </w:rPr>
            </w:pPr>
          </w:p>
        </w:tc>
        <w:tc>
          <w:tcPr>
            <w:tcW w:w="1260" w:type="dxa"/>
            <w:noWrap/>
          </w:tcPr>
          <w:p>
            <w:pPr>
              <w:spacing w:line="360" w:lineRule="auto"/>
              <w:rPr>
                <w:rFonts w:asciiTheme="minorEastAsia" w:hAnsiTheme="minorEastAsia" w:eastAsiaTheme="minorEastAsia" w:cstheme="minorEastAsia"/>
                <w:b/>
                <w:bCs/>
                <w:szCs w:val="21"/>
              </w:rPr>
            </w:pPr>
          </w:p>
        </w:tc>
        <w:tc>
          <w:tcPr>
            <w:tcW w:w="1980" w:type="dxa"/>
            <w:noWrap/>
          </w:tcPr>
          <w:p>
            <w:pPr>
              <w:spacing w:line="360" w:lineRule="auto"/>
              <w:rPr>
                <w:rFonts w:asciiTheme="minorEastAsia" w:hAnsiTheme="minorEastAsia" w:eastAsiaTheme="minorEastAsia" w:cstheme="minorEastAsia"/>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4" w:type="dxa"/>
            <w:noWrap/>
            <w:vAlign w:val="center"/>
          </w:tcPr>
          <w:p>
            <w:pPr>
              <w:spacing w:line="360"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8</w:t>
            </w:r>
          </w:p>
        </w:tc>
        <w:tc>
          <w:tcPr>
            <w:tcW w:w="1346" w:type="dxa"/>
            <w:noWrap/>
          </w:tcPr>
          <w:p>
            <w:pPr>
              <w:spacing w:line="360" w:lineRule="auto"/>
              <w:jc w:val="center"/>
              <w:rPr>
                <w:rFonts w:asciiTheme="minorEastAsia" w:hAnsiTheme="minorEastAsia" w:eastAsiaTheme="minorEastAsia" w:cstheme="minorEastAsia"/>
                <w:b/>
                <w:bCs/>
                <w:szCs w:val="21"/>
              </w:rPr>
            </w:pPr>
          </w:p>
        </w:tc>
        <w:tc>
          <w:tcPr>
            <w:tcW w:w="8374" w:type="dxa"/>
            <w:noWrap/>
          </w:tcPr>
          <w:p>
            <w:pPr>
              <w:spacing w:line="360" w:lineRule="auto"/>
              <w:rPr>
                <w:rFonts w:asciiTheme="minorEastAsia" w:hAnsiTheme="minorEastAsia" w:eastAsiaTheme="minorEastAsia" w:cstheme="minorEastAsia"/>
                <w:b/>
                <w:bCs/>
                <w:szCs w:val="21"/>
              </w:rPr>
            </w:pPr>
          </w:p>
        </w:tc>
        <w:tc>
          <w:tcPr>
            <w:tcW w:w="1260" w:type="dxa"/>
            <w:noWrap/>
          </w:tcPr>
          <w:p>
            <w:pPr>
              <w:spacing w:line="360" w:lineRule="auto"/>
              <w:rPr>
                <w:rFonts w:asciiTheme="minorEastAsia" w:hAnsiTheme="minorEastAsia" w:eastAsiaTheme="minorEastAsia" w:cstheme="minorEastAsia"/>
                <w:b/>
                <w:bCs/>
                <w:szCs w:val="21"/>
              </w:rPr>
            </w:pPr>
          </w:p>
        </w:tc>
        <w:tc>
          <w:tcPr>
            <w:tcW w:w="1980" w:type="dxa"/>
            <w:noWrap/>
          </w:tcPr>
          <w:p>
            <w:pPr>
              <w:spacing w:line="360" w:lineRule="auto"/>
              <w:rPr>
                <w:rFonts w:asciiTheme="minorEastAsia" w:hAnsiTheme="minorEastAsia" w:eastAsiaTheme="minorEastAsia" w:cstheme="minorEastAsia"/>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4" w:type="dxa"/>
            <w:noWrap/>
            <w:vAlign w:val="center"/>
          </w:tcPr>
          <w:p>
            <w:pPr>
              <w:spacing w:line="360"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w:t>
            </w:r>
          </w:p>
        </w:tc>
        <w:tc>
          <w:tcPr>
            <w:tcW w:w="1346" w:type="dxa"/>
            <w:noWrap/>
          </w:tcPr>
          <w:p>
            <w:pPr>
              <w:spacing w:line="360" w:lineRule="auto"/>
              <w:jc w:val="center"/>
              <w:rPr>
                <w:rFonts w:asciiTheme="minorEastAsia" w:hAnsiTheme="minorEastAsia" w:eastAsiaTheme="minorEastAsia" w:cstheme="minorEastAsia"/>
                <w:b/>
                <w:bCs/>
                <w:szCs w:val="21"/>
              </w:rPr>
            </w:pPr>
          </w:p>
        </w:tc>
        <w:tc>
          <w:tcPr>
            <w:tcW w:w="8374" w:type="dxa"/>
            <w:noWrap/>
          </w:tcPr>
          <w:p>
            <w:pPr>
              <w:spacing w:line="360" w:lineRule="auto"/>
              <w:rPr>
                <w:rFonts w:asciiTheme="minorEastAsia" w:hAnsiTheme="minorEastAsia" w:eastAsiaTheme="minorEastAsia" w:cstheme="minorEastAsia"/>
                <w:b/>
                <w:bCs/>
                <w:szCs w:val="21"/>
              </w:rPr>
            </w:pPr>
          </w:p>
        </w:tc>
        <w:tc>
          <w:tcPr>
            <w:tcW w:w="1260" w:type="dxa"/>
            <w:noWrap/>
          </w:tcPr>
          <w:p>
            <w:pPr>
              <w:spacing w:line="360" w:lineRule="auto"/>
              <w:rPr>
                <w:rFonts w:asciiTheme="minorEastAsia" w:hAnsiTheme="minorEastAsia" w:eastAsiaTheme="minorEastAsia" w:cstheme="minorEastAsia"/>
                <w:b/>
                <w:bCs/>
                <w:szCs w:val="21"/>
              </w:rPr>
            </w:pPr>
          </w:p>
        </w:tc>
        <w:tc>
          <w:tcPr>
            <w:tcW w:w="1980" w:type="dxa"/>
            <w:noWrap/>
          </w:tcPr>
          <w:p>
            <w:pPr>
              <w:spacing w:line="360" w:lineRule="auto"/>
              <w:rPr>
                <w:rFonts w:asciiTheme="minorEastAsia" w:hAnsiTheme="minorEastAsia" w:eastAsiaTheme="minorEastAsia" w:cstheme="minorEastAsia"/>
                <w:b/>
                <w:bCs/>
                <w:szCs w:val="21"/>
              </w:rPr>
            </w:pPr>
          </w:p>
        </w:tc>
      </w:tr>
    </w:tbl>
    <w:p>
      <w:pPr>
        <w:spacing w:line="360" w:lineRule="auto"/>
        <w:rPr>
          <w:rFonts w:asciiTheme="minorEastAsia" w:hAnsiTheme="minorEastAsia" w:eastAsiaTheme="minorEastAsia" w:cstheme="minorEastAsia"/>
          <w:b/>
          <w:bCs/>
          <w:szCs w:val="21"/>
        </w:rPr>
        <w:sectPr>
          <w:pgSz w:w="16838" w:h="11906" w:orient="landscape"/>
          <w:pgMar w:top="1797" w:right="1440" w:bottom="1797" w:left="1440" w:header="851" w:footer="992" w:gutter="0"/>
          <w:cols w:space="720" w:num="1"/>
          <w:docGrid w:type="linesAndChars" w:linePitch="312" w:charSpace="0"/>
        </w:sectPr>
      </w:pPr>
    </w:p>
    <w:p>
      <w:pPr>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附件3：                  </w:t>
      </w:r>
    </w:p>
    <w:p>
      <w:pPr>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                   售后服务计划及保障措施</w:t>
      </w:r>
    </w:p>
    <w:p>
      <w:pPr>
        <w:snapToGrid w:val="0"/>
        <w:spacing w:line="360" w:lineRule="auto"/>
        <w:rPr>
          <w:rFonts w:asciiTheme="minorEastAsia" w:hAnsiTheme="minorEastAsia" w:eastAsiaTheme="minorEastAsia" w:cstheme="minorEastAsia"/>
          <w:b/>
          <w:bCs/>
          <w:szCs w:val="21"/>
        </w:rPr>
      </w:pPr>
    </w:p>
    <w:p>
      <w:pPr>
        <w:snapToGrid w:val="0"/>
        <w:spacing w:line="360" w:lineRule="auto"/>
        <w:rPr>
          <w:rFonts w:asciiTheme="minorEastAsia" w:hAnsiTheme="minorEastAsia" w:eastAsiaTheme="minorEastAsia" w:cstheme="minorEastAsia"/>
          <w:b/>
          <w:bCs/>
          <w:szCs w:val="21"/>
        </w:rPr>
      </w:pPr>
    </w:p>
    <w:p>
      <w:pPr>
        <w:snapToGrid w:val="0"/>
        <w:spacing w:line="360" w:lineRule="auto"/>
        <w:rPr>
          <w:rFonts w:asciiTheme="minorEastAsia" w:hAnsiTheme="minorEastAsia" w:eastAsiaTheme="minorEastAsia" w:cstheme="minorEastAsia"/>
          <w:b/>
          <w:bCs/>
          <w:szCs w:val="21"/>
        </w:rPr>
      </w:pPr>
    </w:p>
    <w:p>
      <w:pPr>
        <w:snapToGrid w:val="0"/>
        <w:spacing w:line="360" w:lineRule="auto"/>
        <w:rPr>
          <w:rFonts w:asciiTheme="minorEastAsia" w:hAnsiTheme="minorEastAsia" w:eastAsiaTheme="minorEastAsia" w:cstheme="minorEastAsia"/>
          <w:b/>
          <w:bCs/>
          <w:szCs w:val="21"/>
        </w:rPr>
      </w:pPr>
    </w:p>
    <w:p>
      <w:pPr>
        <w:snapToGrid w:val="0"/>
        <w:spacing w:line="360" w:lineRule="auto"/>
        <w:rPr>
          <w:rFonts w:asciiTheme="minorEastAsia" w:hAnsiTheme="minorEastAsia" w:eastAsiaTheme="minorEastAsia" w:cstheme="minorEastAsia"/>
          <w:b/>
          <w:bCs/>
          <w:szCs w:val="21"/>
        </w:rPr>
      </w:pPr>
    </w:p>
    <w:p>
      <w:pPr>
        <w:snapToGrid w:val="0"/>
        <w:spacing w:line="360" w:lineRule="auto"/>
        <w:rPr>
          <w:rFonts w:asciiTheme="minorEastAsia" w:hAnsiTheme="minorEastAsia" w:eastAsiaTheme="minorEastAsia" w:cstheme="minorEastAsia"/>
          <w:b/>
          <w:bCs/>
          <w:szCs w:val="21"/>
        </w:rPr>
      </w:pPr>
    </w:p>
    <w:p>
      <w:pPr>
        <w:snapToGrid w:val="0"/>
        <w:spacing w:line="360" w:lineRule="auto"/>
        <w:rPr>
          <w:rFonts w:asciiTheme="minorEastAsia" w:hAnsiTheme="minorEastAsia" w:eastAsiaTheme="minorEastAsia" w:cstheme="minorEastAsia"/>
          <w:b/>
          <w:bCs/>
          <w:szCs w:val="21"/>
        </w:rPr>
      </w:pPr>
    </w:p>
    <w:p>
      <w:pPr>
        <w:snapToGrid w:val="0"/>
        <w:spacing w:line="360" w:lineRule="auto"/>
        <w:rPr>
          <w:rFonts w:asciiTheme="minorEastAsia" w:hAnsiTheme="minorEastAsia" w:eastAsiaTheme="minorEastAsia" w:cstheme="minorEastAsia"/>
          <w:b/>
          <w:bCs/>
          <w:szCs w:val="21"/>
        </w:rPr>
      </w:pPr>
    </w:p>
    <w:p>
      <w:pPr>
        <w:snapToGrid w:val="0"/>
        <w:spacing w:line="360" w:lineRule="auto"/>
        <w:rPr>
          <w:rFonts w:asciiTheme="minorEastAsia" w:hAnsiTheme="minorEastAsia" w:eastAsiaTheme="minorEastAsia" w:cstheme="minorEastAsia"/>
          <w:b/>
          <w:bCs/>
          <w:szCs w:val="21"/>
        </w:rPr>
      </w:pPr>
    </w:p>
    <w:p>
      <w:pPr>
        <w:snapToGrid w:val="0"/>
        <w:spacing w:line="360" w:lineRule="auto"/>
        <w:rPr>
          <w:rFonts w:asciiTheme="minorEastAsia" w:hAnsiTheme="minorEastAsia" w:eastAsiaTheme="minorEastAsia" w:cstheme="minorEastAsia"/>
          <w:b/>
          <w:bCs/>
          <w:szCs w:val="21"/>
        </w:rPr>
      </w:pPr>
    </w:p>
    <w:p>
      <w:pPr>
        <w:snapToGrid w:val="0"/>
        <w:spacing w:line="360" w:lineRule="auto"/>
        <w:rPr>
          <w:rFonts w:asciiTheme="minorEastAsia" w:hAnsiTheme="minorEastAsia" w:eastAsiaTheme="minorEastAsia" w:cstheme="minorEastAsia"/>
          <w:b/>
          <w:bCs/>
          <w:szCs w:val="21"/>
        </w:rPr>
      </w:pPr>
    </w:p>
    <w:p>
      <w:pPr>
        <w:snapToGrid w:val="0"/>
        <w:spacing w:line="360" w:lineRule="auto"/>
        <w:rPr>
          <w:rFonts w:asciiTheme="minorEastAsia" w:hAnsiTheme="minorEastAsia" w:eastAsiaTheme="minorEastAsia" w:cstheme="minorEastAsia"/>
          <w:b/>
          <w:bCs/>
          <w:szCs w:val="21"/>
        </w:rPr>
      </w:pPr>
    </w:p>
    <w:p>
      <w:pPr>
        <w:snapToGrid w:val="0"/>
        <w:spacing w:line="360" w:lineRule="auto"/>
        <w:rPr>
          <w:rFonts w:asciiTheme="minorEastAsia" w:hAnsiTheme="minorEastAsia" w:eastAsiaTheme="minorEastAsia" w:cstheme="minorEastAsia"/>
          <w:b/>
          <w:bCs/>
          <w:szCs w:val="21"/>
        </w:rPr>
      </w:pPr>
    </w:p>
    <w:p>
      <w:pPr>
        <w:snapToGrid w:val="0"/>
        <w:spacing w:line="360" w:lineRule="auto"/>
        <w:rPr>
          <w:rFonts w:asciiTheme="minorEastAsia" w:hAnsiTheme="minorEastAsia" w:eastAsiaTheme="minorEastAsia" w:cstheme="minorEastAsia"/>
          <w:b/>
          <w:bCs/>
          <w:szCs w:val="21"/>
        </w:rPr>
      </w:pPr>
    </w:p>
    <w:p>
      <w:pPr>
        <w:snapToGrid w:val="0"/>
        <w:spacing w:line="360" w:lineRule="auto"/>
        <w:rPr>
          <w:rFonts w:asciiTheme="minorEastAsia" w:hAnsiTheme="minorEastAsia" w:eastAsiaTheme="minorEastAsia" w:cstheme="minorEastAsia"/>
          <w:b/>
          <w:bCs/>
          <w:szCs w:val="21"/>
        </w:rPr>
      </w:pPr>
    </w:p>
    <w:p>
      <w:pPr>
        <w:snapToGrid w:val="0"/>
        <w:spacing w:line="360" w:lineRule="auto"/>
        <w:rPr>
          <w:rFonts w:asciiTheme="minorEastAsia" w:hAnsiTheme="minorEastAsia" w:eastAsiaTheme="minorEastAsia" w:cstheme="minorEastAsia"/>
          <w:b/>
          <w:bCs/>
          <w:szCs w:val="21"/>
        </w:rPr>
      </w:pPr>
    </w:p>
    <w:p>
      <w:pPr>
        <w:snapToGrid w:val="0"/>
        <w:spacing w:line="360" w:lineRule="auto"/>
        <w:rPr>
          <w:rFonts w:asciiTheme="minorEastAsia" w:hAnsiTheme="minorEastAsia" w:eastAsiaTheme="minorEastAsia" w:cstheme="minorEastAsia"/>
          <w:b/>
          <w:bCs/>
          <w:szCs w:val="21"/>
        </w:rPr>
      </w:pPr>
    </w:p>
    <w:p>
      <w:pPr>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                         （由制造商及成交商签字盖章确认）</w:t>
      </w:r>
      <w:r>
        <w:rPr>
          <w:rFonts w:hint="eastAsia" w:asciiTheme="minorEastAsia" w:hAnsiTheme="minorEastAsia" w:eastAsiaTheme="minorEastAsia" w:cstheme="minorEastAsia"/>
          <w:b/>
          <w:bCs/>
          <w:szCs w:val="21"/>
        </w:rPr>
        <w:br w:type="page"/>
      </w:r>
      <w:r>
        <w:rPr>
          <w:rFonts w:hint="eastAsia" w:asciiTheme="minorEastAsia" w:hAnsiTheme="minorEastAsia" w:eastAsiaTheme="minorEastAsia" w:cstheme="minorEastAsia"/>
          <w:szCs w:val="21"/>
        </w:rPr>
        <w:t>附件4：</w:t>
      </w:r>
    </w:p>
    <w:p>
      <w:pPr>
        <w:snapToGrid w:val="0"/>
        <w:spacing w:line="360" w:lineRule="auto"/>
        <w:rPr>
          <w:rFonts w:asciiTheme="minorEastAsia" w:hAnsiTheme="minorEastAsia" w:eastAsiaTheme="minorEastAsia" w:cstheme="minorEastAsia"/>
          <w:szCs w:val="21"/>
        </w:rPr>
      </w:pPr>
    </w:p>
    <w:p>
      <w:pPr>
        <w:snapToGri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                      成交通知书 </w:t>
      </w:r>
    </w:p>
    <w:p>
      <w:pPr>
        <w:pStyle w:val="3"/>
        <w:spacing w:line="520" w:lineRule="exact"/>
        <w:jc w:val="both"/>
        <w:rPr>
          <w:rFonts w:asciiTheme="minorEastAsia" w:hAnsiTheme="minorEastAsia" w:eastAsiaTheme="minorEastAsia" w:cstheme="minorEastAsia"/>
          <w:bCs/>
          <w:sz w:val="21"/>
          <w:szCs w:val="21"/>
        </w:rPr>
      </w:pPr>
    </w:p>
    <w:p>
      <w:pPr>
        <w:rPr>
          <w:rFonts w:asciiTheme="minorEastAsia" w:hAnsiTheme="minorEastAsia" w:eastAsiaTheme="minorEastAsia" w:cstheme="minorEastAsia"/>
          <w:szCs w:val="21"/>
        </w:rPr>
      </w:pPr>
    </w:p>
    <w:p>
      <w:pPr>
        <w:pStyle w:val="46"/>
        <w:rPr>
          <w:rFonts w:asciiTheme="minorEastAsia" w:hAnsiTheme="minorEastAsia" w:eastAsiaTheme="minorEastAsia" w:cstheme="minorEastAsia"/>
          <w:color w:val="auto"/>
          <w:sz w:val="21"/>
          <w:szCs w:val="21"/>
        </w:rPr>
      </w:pPr>
    </w:p>
    <w:p>
      <w:pPr>
        <w:rPr>
          <w:rFonts w:ascii="宋体" w:hAnsi="宋体" w:cs="宋体"/>
        </w:rPr>
      </w:pPr>
      <w:bookmarkStart w:id="97" w:name="_Toc28735"/>
      <w:r>
        <w:rPr>
          <w:rFonts w:hint="eastAsia" w:asciiTheme="minorEastAsia" w:hAnsiTheme="minorEastAsia" w:eastAsiaTheme="minorEastAsia" w:cstheme="minorEastAsia"/>
          <w:szCs w:val="21"/>
        </w:rPr>
        <w:br w:type="page"/>
      </w:r>
    </w:p>
    <w:p>
      <w:pPr>
        <w:pStyle w:val="3"/>
        <w:numPr>
          <w:ilvl w:val="0"/>
          <w:numId w:val="5"/>
        </w:numPr>
        <w:spacing w:line="360" w:lineRule="auto"/>
        <w:rPr>
          <w:rFonts w:ascii="宋体" w:hAnsi="宋体" w:cs="宋体"/>
        </w:rPr>
      </w:pPr>
      <w:r>
        <w:rPr>
          <w:rFonts w:hint="eastAsia" w:ascii="宋体" w:hAnsi="宋体" w:cs="宋体"/>
        </w:rPr>
        <w:t xml:space="preserve"> 投标文件格式</w:t>
      </w:r>
      <w:bookmarkEnd w:id="97"/>
    </w:p>
    <w:p/>
    <w:p>
      <w:pPr>
        <w:spacing w:line="500" w:lineRule="exact"/>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投标文件封面格式</w:t>
      </w:r>
    </w:p>
    <w:p>
      <w:pPr>
        <w:spacing w:line="500" w:lineRule="exact"/>
        <w:ind w:firstLine="480" w:firstLineChars="200"/>
        <w:rPr>
          <w:rFonts w:asciiTheme="minorEastAsia" w:hAnsiTheme="minorEastAsia" w:eastAsiaTheme="minorEastAsia" w:cstheme="minorEastAsia"/>
          <w:sz w:val="24"/>
        </w:rPr>
      </w:pPr>
    </w:p>
    <w:p>
      <w:pPr>
        <w:spacing w:line="360" w:lineRule="auto"/>
        <w:ind w:firstLine="1612" w:firstLineChars="446"/>
        <w:rPr>
          <w:rFonts w:asciiTheme="minorEastAsia" w:hAnsiTheme="minorEastAsia" w:eastAsiaTheme="minorEastAsia" w:cstheme="minorEastAsia"/>
          <w:b/>
          <w:sz w:val="36"/>
          <w:szCs w:val="36"/>
          <w:u w:val="single"/>
        </w:rPr>
      </w:pPr>
    </w:p>
    <w:p>
      <w:pPr>
        <w:spacing w:line="360" w:lineRule="auto"/>
        <w:ind w:firstLine="1807" w:firstLineChars="500"/>
        <w:rPr>
          <w:rFonts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u w:val="single"/>
        </w:rPr>
        <w:t xml:space="preserve">       （项目名称）    </w:t>
      </w:r>
    </w:p>
    <w:p>
      <w:pPr>
        <w:spacing w:line="920" w:lineRule="exact"/>
        <w:jc w:val="center"/>
        <w:rPr>
          <w:rFonts w:asciiTheme="minorEastAsia" w:hAnsiTheme="minorEastAsia" w:eastAsiaTheme="minorEastAsia" w:cstheme="minorEastAsia"/>
          <w:b/>
          <w:sz w:val="32"/>
          <w:szCs w:val="48"/>
        </w:rPr>
      </w:pPr>
    </w:p>
    <w:p>
      <w:pPr>
        <w:spacing w:line="500" w:lineRule="exact"/>
        <w:rPr>
          <w:rFonts w:asciiTheme="minorEastAsia" w:hAnsiTheme="minorEastAsia" w:eastAsiaTheme="minorEastAsia" w:cstheme="minorEastAsia"/>
          <w:sz w:val="24"/>
        </w:rPr>
      </w:pPr>
    </w:p>
    <w:p>
      <w:pPr>
        <w:spacing w:line="360" w:lineRule="auto"/>
        <w:jc w:val="center"/>
        <w:rPr>
          <w:rFonts w:asciiTheme="minorEastAsia" w:hAnsiTheme="minorEastAsia" w:eastAsiaTheme="minorEastAsia" w:cstheme="minorEastAsia"/>
          <w:sz w:val="84"/>
          <w:szCs w:val="84"/>
        </w:rPr>
      </w:pPr>
      <w:r>
        <w:rPr>
          <w:rFonts w:hint="eastAsia" w:asciiTheme="minorEastAsia" w:hAnsiTheme="minorEastAsia" w:eastAsiaTheme="minorEastAsia" w:cstheme="minorEastAsia"/>
          <w:sz w:val="84"/>
          <w:szCs w:val="84"/>
        </w:rPr>
        <w:t>投</w:t>
      </w:r>
      <w:r>
        <w:rPr>
          <w:rFonts w:hint="eastAsia" w:asciiTheme="minorEastAsia" w:hAnsiTheme="minorEastAsia" w:eastAsiaTheme="minorEastAsia" w:cstheme="minorEastAsia"/>
          <w:sz w:val="84"/>
          <w:szCs w:val="84"/>
        </w:rPr>
        <w:tab/>
      </w:r>
      <w:r>
        <w:rPr>
          <w:rFonts w:hint="eastAsia" w:asciiTheme="minorEastAsia" w:hAnsiTheme="minorEastAsia" w:eastAsiaTheme="minorEastAsia" w:cstheme="minorEastAsia"/>
          <w:sz w:val="84"/>
          <w:szCs w:val="84"/>
        </w:rPr>
        <w:t>标</w:t>
      </w:r>
      <w:r>
        <w:rPr>
          <w:rFonts w:hint="eastAsia" w:asciiTheme="minorEastAsia" w:hAnsiTheme="minorEastAsia" w:eastAsiaTheme="minorEastAsia" w:cstheme="minorEastAsia"/>
          <w:sz w:val="84"/>
          <w:szCs w:val="84"/>
        </w:rPr>
        <w:tab/>
      </w:r>
      <w:r>
        <w:rPr>
          <w:rFonts w:hint="eastAsia" w:asciiTheme="minorEastAsia" w:hAnsiTheme="minorEastAsia" w:eastAsiaTheme="minorEastAsia" w:cstheme="minorEastAsia"/>
          <w:sz w:val="84"/>
          <w:szCs w:val="84"/>
        </w:rPr>
        <w:t>文</w:t>
      </w:r>
      <w:r>
        <w:rPr>
          <w:rFonts w:hint="eastAsia" w:asciiTheme="minorEastAsia" w:hAnsiTheme="minorEastAsia" w:eastAsiaTheme="minorEastAsia" w:cstheme="minorEastAsia"/>
          <w:sz w:val="84"/>
          <w:szCs w:val="84"/>
        </w:rPr>
        <w:tab/>
      </w:r>
      <w:r>
        <w:rPr>
          <w:rFonts w:hint="eastAsia" w:asciiTheme="minorEastAsia" w:hAnsiTheme="minorEastAsia" w:eastAsiaTheme="minorEastAsia" w:cstheme="minorEastAsia"/>
          <w:sz w:val="84"/>
          <w:szCs w:val="84"/>
        </w:rPr>
        <w:t>件</w:t>
      </w:r>
    </w:p>
    <w:p>
      <w:pPr>
        <w:spacing w:line="360" w:lineRule="auto"/>
        <w:ind w:firstLine="1751" w:firstLineChars="545"/>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招标编号：</w:t>
      </w:r>
    </w:p>
    <w:p>
      <w:pPr>
        <w:spacing w:line="360" w:lineRule="auto"/>
        <w:ind w:firstLine="1308" w:firstLineChars="545"/>
        <w:rPr>
          <w:rFonts w:asciiTheme="minorEastAsia" w:hAnsiTheme="minorEastAsia" w:eastAsiaTheme="minorEastAsia" w:cstheme="minorEastAsia"/>
          <w:sz w:val="24"/>
        </w:rPr>
      </w:pPr>
    </w:p>
    <w:p>
      <w:pPr>
        <w:spacing w:line="500" w:lineRule="exact"/>
        <w:ind w:firstLine="480" w:firstLineChars="200"/>
        <w:rPr>
          <w:rFonts w:asciiTheme="minorEastAsia" w:hAnsiTheme="minorEastAsia" w:eastAsiaTheme="minorEastAsia" w:cstheme="minorEastAsia"/>
          <w:sz w:val="24"/>
        </w:rPr>
      </w:pPr>
    </w:p>
    <w:p>
      <w:pPr>
        <w:pStyle w:val="28"/>
        <w:tabs>
          <w:tab w:val="left" w:pos="1158"/>
          <w:tab w:val="left" w:pos="1544"/>
          <w:tab w:val="clear" w:pos="945"/>
          <w:tab w:val="clear" w:pos="1155"/>
        </w:tabs>
        <w:ind w:firstLine="480"/>
        <w:rPr>
          <w:rFonts w:asciiTheme="minorEastAsia" w:hAnsiTheme="minorEastAsia" w:eastAsiaTheme="minorEastAsia" w:cstheme="minorEastAsia"/>
          <w:sz w:val="24"/>
        </w:rPr>
      </w:pPr>
    </w:p>
    <w:p>
      <w:pPr>
        <w:pStyle w:val="28"/>
        <w:tabs>
          <w:tab w:val="left" w:pos="1158"/>
          <w:tab w:val="left" w:pos="1544"/>
          <w:tab w:val="clear" w:pos="945"/>
          <w:tab w:val="clear" w:pos="1155"/>
        </w:tabs>
        <w:rPr>
          <w:rFonts w:asciiTheme="minorEastAsia" w:hAnsiTheme="minorEastAsia" w:eastAsiaTheme="minorEastAsia" w:cstheme="minorEastAsia"/>
          <w:szCs w:val="21"/>
        </w:rPr>
      </w:pPr>
    </w:p>
    <w:p>
      <w:pPr>
        <w:pStyle w:val="28"/>
        <w:tabs>
          <w:tab w:val="left" w:pos="1158"/>
          <w:tab w:val="left" w:pos="1544"/>
          <w:tab w:val="clear" w:pos="945"/>
          <w:tab w:val="clear" w:pos="1155"/>
        </w:tabs>
        <w:rPr>
          <w:rFonts w:asciiTheme="minorEastAsia" w:hAnsiTheme="minorEastAsia" w:eastAsiaTheme="minorEastAsia" w:cstheme="minorEastAsia"/>
          <w:szCs w:val="21"/>
        </w:rPr>
      </w:pPr>
    </w:p>
    <w:p>
      <w:pPr>
        <w:spacing w:line="360" w:lineRule="auto"/>
        <w:ind w:firstLine="315" w:firstLineChars="1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投标人：（盖单位章）</w:t>
      </w:r>
    </w:p>
    <w:p>
      <w:pPr>
        <w:spacing w:line="360" w:lineRule="auto"/>
        <w:ind w:firstLine="315" w:firstLineChars="1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w:t>
      </w:r>
      <w:r>
        <w:rPr>
          <w:rFonts w:hint="eastAsia" w:asciiTheme="minorEastAsia" w:hAnsiTheme="minorEastAsia" w:eastAsiaTheme="minorEastAsia" w:cstheme="minorEastAsia"/>
          <w:kern w:val="0"/>
          <w:szCs w:val="21"/>
        </w:rPr>
        <w:t>或其委托代理人</w:t>
      </w:r>
      <w:r>
        <w:rPr>
          <w:rFonts w:hint="eastAsia" w:asciiTheme="minorEastAsia" w:hAnsiTheme="minorEastAsia" w:eastAsiaTheme="minorEastAsia" w:cstheme="minorEastAsia"/>
          <w:szCs w:val="21"/>
        </w:rPr>
        <w:t xml:space="preserve">：（签字或盖章） </w:t>
      </w:r>
    </w:p>
    <w:p>
      <w:pPr>
        <w:spacing w:line="360" w:lineRule="auto"/>
        <w:ind w:firstLine="315" w:firstLineChars="150"/>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详细地址：</w:t>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u w:val="single"/>
        </w:rPr>
        <w:tab/>
      </w:r>
    </w:p>
    <w:p>
      <w:pPr>
        <w:spacing w:line="360" w:lineRule="auto"/>
        <w:ind w:firstLine="315" w:firstLineChars="150"/>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联系电话：</w:t>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u w:val="single"/>
        </w:rPr>
        <w:tab/>
      </w:r>
    </w:p>
    <w:p>
      <w:pPr>
        <w:pStyle w:val="27"/>
        <w:ind w:firstLine="218"/>
        <w:rPr>
          <w:szCs w:val="21"/>
        </w:rPr>
        <w:sectPr>
          <w:headerReference r:id="rId11" w:type="default"/>
          <w:footerReference r:id="rId12" w:type="default"/>
          <w:pgSz w:w="11906" w:h="16838"/>
          <w:pgMar w:top="1440" w:right="1803" w:bottom="1440" w:left="1803" w:header="851" w:footer="992" w:gutter="0"/>
          <w:cols w:space="720" w:num="1"/>
          <w:docGrid w:type="lines" w:linePitch="319" w:charSpace="0"/>
        </w:sectPr>
      </w:pPr>
      <w:r>
        <w:rPr>
          <w:rFonts w:hint="eastAsia" w:asciiTheme="minorEastAsia" w:hAnsiTheme="minorEastAsia" w:eastAsiaTheme="minorEastAsia" w:cstheme="minorEastAsia"/>
          <w:szCs w:val="21"/>
        </w:rPr>
        <w:t xml:space="preserve">年 月 日    </w:t>
      </w:r>
    </w:p>
    <w:p>
      <w:pPr>
        <w:jc w:val="center"/>
        <w:rPr>
          <w:rFonts w:ascii="汉鼎简楷体" w:hAnsi="汉鼎简楷体"/>
          <w:sz w:val="36"/>
          <w:szCs w:val="36"/>
        </w:rPr>
      </w:pPr>
      <w:bookmarkStart w:id="98" w:name="_Toc24521"/>
      <w:bookmarkStart w:id="99" w:name="_Toc1341"/>
      <w:bookmarkStart w:id="100" w:name="_Toc22167"/>
      <w:r>
        <w:rPr>
          <w:rFonts w:hint="eastAsia" w:ascii="汉鼎简楷体" w:hAnsi="汉鼎简楷体"/>
          <w:sz w:val="36"/>
          <w:szCs w:val="36"/>
        </w:rPr>
        <w:t>目  录</w:t>
      </w:r>
    </w:p>
    <w:p>
      <w:pPr>
        <w:spacing w:line="284" w:lineRule="exact"/>
        <w:rPr>
          <w:rFonts w:ascii="汉鼎简楷体" w:hAnsi="汉鼎简楷体"/>
          <w:sz w:val="24"/>
        </w:rPr>
      </w:pPr>
    </w:p>
    <w:p>
      <w:pPr>
        <w:spacing w:line="550" w:lineRule="auto"/>
        <w:ind w:right="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一、投标函及投标函附录</w:t>
      </w:r>
    </w:p>
    <w:p>
      <w:pPr>
        <w:spacing w:line="550" w:lineRule="auto"/>
        <w:ind w:right="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二、分项报价表  </w:t>
      </w:r>
    </w:p>
    <w:p>
      <w:pPr>
        <w:spacing w:line="550" w:lineRule="auto"/>
        <w:ind w:right="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三、技术规格和商务条款偏离表</w:t>
      </w:r>
    </w:p>
    <w:p>
      <w:pPr>
        <w:spacing w:line="550" w:lineRule="auto"/>
        <w:ind w:right="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四、法定代表人（负责人）身份证明</w:t>
      </w:r>
    </w:p>
    <w:p>
      <w:pPr>
        <w:spacing w:line="550" w:lineRule="auto"/>
        <w:ind w:right="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五、授权委托书</w:t>
      </w:r>
    </w:p>
    <w:p>
      <w:pPr>
        <w:spacing w:line="550" w:lineRule="auto"/>
        <w:ind w:right="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六、项目实施方案</w:t>
      </w:r>
    </w:p>
    <w:p>
      <w:pPr>
        <w:spacing w:line="550" w:lineRule="auto"/>
        <w:ind w:right="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七、售后服务</w:t>
      </w:r>
    </w:p>
    <w:p>
      <w:pPr>
        <w:spacing w:line="550" w:lineRule="auto"/>
        <w:ind w:right="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八、投标人基本情况</w:t>
      </w:r>
    </w:p>
    <w:p>
      <w:pPr>
        <w:spacing w:line="550" w:lineRule="auto"/>
        <w:ind w:right="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九、反商业贿赂承诺书  </w:t>
      </w:r>
    </w:p>
    <w:p>
      <w:pPr>
        <w:spacing w:line="550" w:lineRule="auto"/>
        <w:ind w:right="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十、中小企业声明函</w:t>
      </w:r>
    </w:p>
    <w:p>
      <w:pPr>
        <w:spacing w:line="550" w:lineRule="auto"/>
        <w:ind w:right="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十一、资格证明文件</w:t>
      </w:r>
    </w:p>
    <w:p>
      <w:pPr>
        <w:spacing w:line="550" w:lineRule="auto"/>
        <w:ind w:right="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十二、投标人认为需要提供的其他材料</w:t>
      </w:r>
    </w:p>
    <w:p>
      <w:pPr>
        <w:spacing w:line="240" w:lineRule="atLeast"/>
        <w:rPr>
          <w:rFonts w:asciiTheme="minorEastAsia" w:hAnsiTheme="minorEastAsia" w:eastAsiaTheme="minorEastAsia" w:cstheme="minorEastAsia"/>
          <w:szCs w:val="21"/>
        </w:rPr>
        <w:sectPr>
          <w:headerReference r:id="rId13" w:type="default"/>
          <w:footerReference r:id="rId14" w:type="default"/>
          <w:pgSz w:w="11900" w:h="16838"/>
          <w:pgMar w:top="1438" w:right="1960" w:bottom="731" w:left="2013" w:header="0" w:footer="523" w:gutter="0"/>
          <w:cols w:space="720" w:num="1"/>
          <w:docGrid w:linePitch="360" w:charSpace="0"/>
        </w:sectPr>
      </w:pPr>
    </w:p>
    <w:p>
      <w:pPr>
        <w:pStyle w:val="4"/>
        <w:rPr>
          <w:rStyle w:val="63"/>
          <w:rFonts w:asciiTheme="minorEastAsia" w:hAnsiTheme="minorEastAsia" w:eastAsiaTheme="minorEastAsia" w:cstheme="minorEastAsia"/>
          <w:b/>
        </w:rPr>
      </w:pPr>
      <w:r>
        <w:rPr>
          <w:rStyle w:val="63"/>
          <w:rFonts w:hint="eastAsia" w:asciiTheme="minorEastAsia" w:hAnsiTheme="minorEastAsia" w:eastAsiaTheme="minorEastAsia" w:cstheme="minorEastAsia"/>
          <w:b/>
        </w:rPr>
        <w:t>一、投标函及投标函附录</w:t>
      </w:r>
      <w:bookmarkEnd w:id="98"/>
      <w:bookmarkEnd w:id="99"/>
      <w:bookmarkEnd w:id="100"/>
    </w:p>
    <w:p>
      <w:pPr>
        <w:spacing w:line="360" w:lineRule="auto"/>
        <w:jc w:val="center"/>
        <w:rPr>
          <w:rFonts w:asciiTheme="minorEastAsia" w:hAnsiTheme="minorEastAsia" w:eastAsiaTheme="minorEastAsia" w:cstheme="minorEastAsia"/>
          <w:b/>
          <w:sz w:val="24"/>
          <w:lang w:val="zh-CN"/>
        </w:rPr>
      </w:pPr>
      <w:bookmarkStart w:id="101" w:name="_Toc20804"/>
      <w:bookmarkStart w:id="102" w:name="_Toc338840254"/>
      <w:bookmarkStart w:id="103" w:name="_Toc338840502"/>
      <w:bookmarkStart w:id="104" w:name="_Toc338840463"/>
      <w:bookmarkStart w:id="105" w:name="_Toc443400978"/>
      <w:bookmarkStart w:id="106" w:name="_Toc184635142"/>
      <w:bookmarkStart w:id="107" w:name="_Toc328994486"/>
      <w:r>
        <w:rPr>
          <w:rFonts w:hint="eastAsia" w:asciiTheme="minorEastAsia" w:hAnsiTheme="minorEastAsia" w:eastAsiaTheme="minorEastAsia" w:cstheme="minorEastAsia"/>
          <w:b/>
          <w:sz w:val="24"/>
          <w:lang w:val="zh-CN"/>
        </w:rPr>
        <w:t>（一）投 标 函</w:t>
      </w:r>
      <w:bookmarkEnd w:id="101"/>
      <w:bookmarkEnd w:id="102"/>
      <w:bookmarkEnd w:id="103"/>
      <w:bookmarkEnd w:id="104"/>
    </w:p>
    <w:p>
      <w:pPr>
        <w:spacing w:line="360" w:lineRule="auto"/>
        <w:jc w:val="left"/>
        <w:rPr>
          <w:rFonts w:asciiTheme="minorEastAsia" w:hAnsiTheme="minorEastAsia" w:eastAsiaTheme="minorEastAsia" w:cstheme="minorEastAsia"/>
          <w:spacing w:val="24"/>
          <w:szCs w:val="21"/>
        </w:rPr>
      </w:pPr>
      <w:r>
        <w:rPr>
          <w:rFonts w:hint="eastAsia" w:asciiTheme="minorEastAsia" w:hAnsiTheme="minorEastAsia" w:eastAsiaTheme="minorEastAsia" w:cstheme="minorEastAsia"/>
          <w:spacing w:val="24"/>
          <w:szCs w:val="21"/>
        </w:rPr>
        <w:t>致</w:t>
      </w:r>
      <w:r>
        <w:rPr>
          <w:rFonts w:hint="eastAsia" w:asciiTheme="minorEastAsia" w:hAnsiTheme="minorEastAsia" w:eastAsiaTheme="minorEastAsia" w:cstheme="minorEastAsia"/>
          <w:spacing w:val="24"/>
          <w:szCs w:val="21"/>
          <w:u w:val="single"/>
        </w:rPr>
        <w:t>（采购人）</w:t>
      </w:r>
      <w:r>
        <w:rPr>
          <w:rFonts w:hint="eastAsia" w:asciiTheme="minorEastAsia" w:hAnsiTheme="minorEastAsia" w:eastAsiaTheme="minorEastAsia" w:cstheme="minorEastAsia"/>
          <w:spacing w:val="24"/>
          <w:szCs w:val="21"/>
        </w:rPr>
        <w:t>：</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根据已收到贵方的</w:t>
      </w:r>
      <w:r>
        <w:rPr>
          <w:rFonts w:hint="eastAsia" w:asciiTheme="minorEastAsia" w:hAnsiTheme="minorEastAsia" w:eastAsiaTheme="minorEastAsia" w:cstheme="minorEastAsia"/>
          <w:szCs w:val="21"/>
          <w:u w:val="single"/>
        </w:rPr>
        <w:t>（项目名称、采购编号）</w:t>
      </w:r>
      <w:r>
        <w:rPr>
          <w:rFonts w:hint="eastAsia" w:asciiTheme="minorEastAsia" w:hAnsiTheme="minorEastAsia" w:eastAsiaTheme="minorEastAsia" w:cstheme="minorEastAsia"/>
          <w:szCs w:val="21"/>
        </w:rPr>
        <w:t>的招标文件，遵照《中华人民共和国政府采购法》等有关规定，我单位经研究上述招标文件的投标须知、合同条款、技术参数及其它有关文件后，对本项目进行投标，我方愿以人民币</w:t>
      </w:r>
      <w:r>
        <w:rPr>
          <w:rFonts w:hint="eastAsia" w:asciiTheme="minorEastAsia" w:hAnsiTheme="minorEastAsia" w:eastAsiaTheme="minorEastAsia" w:cstheme="minorEastAsia"/>
          <w:kern w:val="0"/>
          <w:szCs w:val="21"/>
          <w:u w:val="single"/>
        </w:rPr>
        <w:t>（大写）</w:t>
      </w:r>
      <w:r>
        <w:rPr>
          <w:rFonts w:hint="eastAsia" w:asciiTheme="minorEastAsia" w:hAnsiTheme="minorEastAsia" w:eastAsiaTheme="minorEastAsia" w:cstheme="minorEastAsia"/>
          <w:kern w:val="0"/>
          <w:szCs w:val="21"/>
        </w:rPr>
        <w:t>元</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szCs w:val="21"/>
          <w:u w:val="single"/>
        </w:rPr>
        <w:t>¥</w:t>
      </w:r>
      <w:r>
        <w:rPr>
          <w:rFonts w:hint="eastAsia" w:asciiTheme="minorEastAsia" w:hAnsiTheme="minorEastAsia" w:eastAsiaTheme="minorEastAsia" w:cstheme="minorEastAsia"/>
          <w:kern w:val="0"/>
          <w:szCs w:val="21"/>
          <w:u w:val="single"/>
        </w:rPr>
        <w:t>元）</w:t>
      </w:r>
      <w:r>
        <w:rPr>
          <w:rFonts w:hint="eastAsia" w:asciiTheme="minorEastAsia" w:hAnsiTheme="minorEastAsia" w:eastAsiaTheme="minorEastAsia" w:cstheme="minorEastAsia"/>
          <w:szCs w:val="21"/>
        </w:rPr>
        <w:t>的投标报价，交货期为,承包上述项目的</w:t>
      </w:r>
      <w:r>
        <w:rPr>
          <w:rFonts w:hint="eastAsia" w:asciiTheme="minorEastAsia" w:hAnsiTheme="minorEastAsia" w:eastAsiaTheme="minorEastAsia" w:cstheme="minorEastAsia"/>
          <w:szCs w:val="21"/>
          <w:shd w:val="clear" w:color="auto" w:fill="FFFFFF"/>
        </w:rPr>
        <w:t>设备</w:t>
      </w:r>
      <w:r>
        <w:rPr>
          <w:rFonts w:hint="eastAsia" w:asciiTheme="minorEastAsia" w:hAnsiTheme="minorEastAsia" w:eastAsiaTheme="minorEastAsia" w:cstheme="minorEastAsia"/>
          <w:szCs w:val="21"/>
        </w:rPr>
        <w:t>采购及安装、调试、验收、培训、质量保证期服务，与货物有关的运输和保险及其他伴随服务</w:t>
      </w:r>
      <w:r>
        <w:rPr>
          <w:rFonts w:hint="eastAsia" w:asciiTheme="minorEastAsia" w:hAnsiTheme="minorEastAsia" w:eastAsiaTheme="minorEastAsia" w:cstheme="minorEastAsia"/>
          <w:szCs w:val="21"/>
          <w:shd w:val="clear" w:color="auto" w:fill="FFFFFF"/>
        </w:rPr>
        <w:t>。</w:t>
      </w:r>
    </w:p>
    <w:p>
      <w:pPr>
        <w:pStyle w:val="17"/>
        <w:spacing w:line="360" w:lineRule="auto"/>
        <w:ind w:left="0" w:leftChars="0"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bCs/>
          <w:szCs w:val="21"/>
        </w:rPr>
        <w:t>我方已详细审查全部招标文件，包括修改、澄清文件（如有的话）和有关附件，将自行承担因对全部招标文件理解不正确或误解而产生的相应后果。</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2、我方承诺在招标文件规定的投标有效期内不修改、撤销投标文件。</w:t>
      </w:r>
    </w:p>
    <w:p>
      <w:pPr>
        <w:autoSpaceDE w:val="0"/>
        <w:autoSpaceDN w:val="0"/>
        <w:adjustRightInd w:val="0"/>
        <w:spacing w:line="360" w:lineRule="auto"/>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bCs/>
          <w:szCs w:val="21"/>
          <w:lang w:val="zh-CN"/>
        </w:rPr>
        <w:t>如果在规定的投标有效期内撤回投标文件或中标后拒绝签订合同，我们</w:t>
      </w:r>
      <w:r>
        <w:rPr>
          <w:rFonts w:hint="eastAsia" w:asciiTheme="minorEastAsia" w:hAnsiTheme="minorEastAsia" w:eastAsiaTheme="minorEastAsia" w:cstheme="minorEastAsia"/>
          <w:bCs/>
          <w:szCs w:val="21"/>
        </w:rPr>
        <w:t>自愿</w:t>
      </w:r>
      <w:r>
        <w:rPr>
          <w:rFonts w:hint="eastAsia" w:asciiTheme="minorEastAsia" w:hAnsiTheme="minorEastAsia" w:eastAsiaTheme="minorEastAsia" w:cstheme="minorEastAsia"/>
          <w:bCs/>
          <w:szCs w:val="21"/>
          <w:lang w:val="zh-CN"/>
        </w:rPr>
        <w:t>接受相应主管部门处罚。</w:t>
      </w:r>
    </w:p>
    <w:p>
      <w:pPr>
        <w:autoSpaceDE w:val="0"/>
        <w:autoSpaceDN w:val="0"/>
        <w:adjustRightInd w:val="0"/>
        <w:spacing w:line="360" w:lineRule="auto"/>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lang w:val="zh-CN"/>
        </w:rPr>
        <w:t>4、同意向贵方提供贵方可能另外要求的与招投标有关的任何证据或资料，并保证我方已提供和将要提供的文件是真实的、准确的。</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5、如我方中标，我方承诺在收到中标通知书后，在中标通知书规定的期限内，根据招标文件、我方的投标文件及有关澄清承诺书的要求，与采购人订立书面合同，并按照合同约定承担完成合同的责任和义务。</w:t>
      </w:r>
    </w:p>
    <w:p>
      <w:pPr>
        <w:spacing w:line="360" w:lineRule="auto"/>
        <w:ind w:firstLine="420" w:firstLineChars="200"/>
        <w:jc w:val="left"/>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6、</w:t>
      </w:r>
      <w:r>
        <w:rPr>
          <w:rFonts w:hint="eastAsia" w:asciiTheme="minorEastAsia" w:hAnsiTheme="minorEastAsia" w:eastAsiaTheme="minorEastAsia" w:cstheme="minorEastAsia"/>
          <w:bCs/>
          <w:szCs w:val="21"/>
          <w:lang w:val="zh-CN"/>
        </w:rPr>
        <w:t>遵守招标文件中要求的收费项目和标准。</w:t>
      </w:r>
    </w:p>
    <w:p>
      <w:pPr>
        <w:wordWrap w:val="0"/>
        <w:autoSpaceDE w:val="0"/>
        <w:autoSpaceDN w:val="0"/>
        <w:adjustRightInd w:val="0"/>
        <w:spacing w:line="360" w:lineRule="auto"/>
        <w:ind w:right="84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lang w:val="zh-CN"/>
        </w:rPr>
        <w:t>投标人（盖单位电子签章）:</w:t>
      </w:r>
    </w:p>
    <w:p>
      <w:pPr>
        <w:wordWrap w:val="0"/>
        <w:autoSpaceDE w:val="0"/>
        <w:autoSpaceDN w:val="0"/>
        <w:adjustRightInd w:val="0"/>
        <w:spacing w:line="360" w:lineRule="auto"/>
        <w:ind w:right="960"/>
        <w:rPr>
          <w:rFonts w:asciiTheme="minorEastAsia" w:hAnsiTheme="minorEastAsia" w:eastAsiaTheme="minorEastAsia" w:cstheme="minorEastAsia"/>
          <w:bCs/>
          <w:szCs w:val="21"/>
          <w:u w:val="single"/>
          <w:lang w:val="zh-CN"/>
        </w:rPr>
      </w:pPr>
      <w:r>
        <w:rPr>
          <w:rFonts w:hint="eastAsia" w:asciiTheme="minorEastAsia" w:hAnsiTheme="minorEastAsia" w:eastAsiaTheme="minorEastAsia" w:cstheme="minorEastAsia"/>
          <w:kern w:val="0"/>
          <w:szCs w:val="21"/>
        </w:rPr>
        <w:t>法定代表人或其委托代理人（签字或盖个人电子签章）：</w:t>
      </w:r>
    </w:p>
    <w:p>
      <w:pPr>
        <w:wordWrap w:val="0"/>
        <w:autoSpaceDE w:val="0"/>
        <w:autoSpaceDN w:val="0"/>
        <w:adjustRightInd w:val="0"/>
        <w:spacing w:line="360" w:lineRule="auto"/>
        <w:ind w:right="84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lang w:val="zh-CN"/>
        </w:rPr>
        <w:t>地址:</w:t>
      </w:r>
    </w:p>
    <w:p>
      <w:pPr>
        <w:wordWrap w:val="0"/>
        <w:autoSpaceDE w:val="0"/>
        <w:autoSpaceDN w:val="0"/>
        <w:adjustRightInd w:val="0"/>
        <w:spacing w:line="360" w:lineRule="auto"/>
        <w:ind w:right="84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lang w:val="zh-CN"/>
        </w:rPr>
        <w:t>电话:</w:t>
      </w:r>
    </w:p>
    <w:p>
      <w:pPr>
        <w:wordWrap w:val="0"/>
        <w:autoSpaceDE w:val="0"/>
        <w:autoSpaceDN w:val="0"/>
        <w:adjustRightInd w:val="0"/>
        <w:spacing w:line="360" w:lineRule="auto"/>
        <w:ind w:right="84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lang w:val="zh-CN"/>
        </w:rPr>
        <w:t>邮箱:</w:t>
      </w:r>
    </w:p>
    <w:p>
      <w:pPr>
        <w:wordWrap w:val="0"/>
        <w:autoSpaceDE w:val="0"/>
        <w:autoSpaceDN w:val="0"/>
        <w:adjustRightInd w:val="0"/>
        <w:spacing w:line="360" w:lineRule="auto"/>
        <w:ind w:right="84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lang w:val="zh-CN"/>
        </w:rPr>
        <w:t>邮政编码:</w:t>
      </w:r>
    </w:p>
    <w:p>
      <w:pPr>
        <w:autoSpaceDE w:val="0"/>
        <w:autoSpaceDN w:val="0"/>
        <w:adjustRightInd w:val="0"/>
        <w:spacing w:line="360" w:lineRule="auto"/>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日期:年月日</w:t>
      </w:r>
    </w:p>
    <w:p>
      <w:pPr>
        <w:autoSpaceDE w:val="0"/>
        <w:autoSpaceDN w:val="0"/>
        <w:adjustRightInd w:val="0"/>
        <w:spacing w:line="480" w:lineRule="auto"/>
        <w:ind w:firstLine="3584" w:firstLineChars="1700"/>
        <w:rPr>
          <w:rFonts w:asciiTheme="minorEastAsia" w:hAnsiTheme="minorEastAsia" w:eastAsiaTheme="minorEastAsia" w:cstheme="minorEastAsia"/>
          <w:b/>
          <w:szCs w:val="21"/>
        </w:rPr>
      </w:pPr>
      <w:bookmarkStart w:id="108" w:name="_Toc29989"/>
    </w:p>
    <w:p>
      <w:pPr>
        <w:autoSpaceDE w:val="0"/>
        <w:autoSpaceDN w:val="0"/>
        <w:adjustRightInd w:val="0"/>
        <w:spacing w:line="480" w:lineRule="auto"/>
        <w:jc w:val="center"/>
        <w:rPr>
          <w:rFonts w:asciiTheme="minorEastAsia" w:hAnsiTheme="minorEastAsia" w:eastAsiaTheme="minorEastAsia" w:cstheme="minorEastAsia"/>
          <w:b/>
          <w:sz w:val="24"/>
        </w:rPr>
      </w:pPr>
    </w:p>
    <w:p>
      <w:pPr>
        <w:autoSpaceDE w:val="0"/>
        <w:autoSpaceDN w:val="0"/>
        <w:adjustRightInd w:val="0"/>
        <w:spacing w:line="480" w:lineRule="auto"/>
        <w:jc w:val="center"/>
        <w:rPr>
          <w:rFonts w:asciiTheme="minorEastAsia" w:hAnsiTheme="minorEastAsia" w:eastAsiaTheme="minorEastAsia" w:cstheme="minorEastAsia"/>
          <w:b/>
          <w:sz w:val="24"/>
          <w:lang w:val="zh-CN"/>
        </w:rPr>
      </w:pPr>
      <w:r>
        <w:rPr>
          <w:rFonts w:hint="eastAsia" w:asciiTheme="minorEastAsia" w:hAnsiTheme="minorEastAsia" w:eastAsiaTheme="minorEastAsia" w:cstheme="minorEastAsia"/>
          <w:b/>
          <w:sz w:val="24"/>
        </w:rPr>
        <w:t>（二）</w:t>
      </w:r>
      <w:r>
        <w:rPr>
          <w:rFonts w:hint="eastAsia" w:asciiTheme="minorEastAsia" w:hAnsiTheme="minorEastAsia" w:eastAsiaTheme="minorEastAsia" w:cstheme="minorEastAsia"/>
          <w:b/>
          <w:sz w:val="24"/>
          <w:lang w:val="zh-CN"/>
        </w:rPr>
        <w:t>投标函附录</w:t>
      </w:r>
      <w:bookmarkEnd w:id="108"/>
    </w:p>
    <w:tbl>
      <w:tblPr>
        <w:tblStyle w:val="29"/>
        <w:tblpPr w:leftFromText="180" w:rightFromText="180" w:vertAnchor="text" w:horzAnchor="margin" w:tblpXSpec="center" w:tblpY="408"/>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3062"/>
        <w:gridCol w:w="582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5" w:hRule="atLeast"/>
        </w:trPr>
        <w:tc>
          <w:tcPr>
            <w:tcW w:w="3062" w:type="dxa"/>
            <w:tcBorders>
              <w:top w:val="single" w:color="auto" w:sz="12" w:space="0"/>
            </w:tcBorders>
            <w:noWrap/>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w:t>
            </w:r>
          </w:p>
        </w:tc>
        <w:tc>
          <w:tcPr>
            <w:tcW w:w="5820" w:type="dxa"/>
            <w:tcBorders>
              <w:top w:val="single" w:color="auto" w:sz="12" w:space="0"/>
            </w:tcBorders>
            <w:noWrap/>
            <w:vAlign w:val="center"/>
          </w:tcPr>
          <w:p>
            <w:pPr>
              <w:spacing w:line="360" w:lineRule="auto"/>
              <w:jc w:val="center"/>
              <w:rPr>
                <w:rFonts w:asciiTheme="minorEastAsia" w:hAnsiTheme="minorEastAsia" w:eastAsiaTheme="minorEastAsia" w:cstheme="minorEastAsia"/>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3062" w:type="dxa"/>
            <w:noWrap/>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投标人名称</w:t>
            </w:r>
          </w:p>
        </w:tc>
        <w:tc>
          <w:tcPr>
            <w:tcW w:w="5820" w:type="dxa"/>
            <w:noWrap/>
            <w:vAlign w:val="center"/>
          </w:tcPr>
          <w:p>
            <w:pPr>
              <w:spacing w:line="360" w:lineRule="auto"/>
              <w:jc w:val="center"/>
              <w:rPr>
                <w:rFonts w:asciiTheme="minorEastAsia" w:hAnsiTheme="minorEastAsia" w:eastAsiaTheme="minorEastAsia" w:cstheme="minorEastAsia"/>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8" w:hRule="atLeast"/>
        </w:trPr>
        <w:tc>
          <w:tcPr>
            <w:tcW w:w="3062" w:type="dxa"/>
            <w:noWrap/>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投标内容</w:t>
            </w:r>
          </w:p>
        </w:tc>
        <w:tc>
          <w:tcPr>
            <w:tcW w:w="5820" w:type="dxa"/>
            <w:noWrap/>
            <w:vAlign w:val="center"/>
          </w:tcPr>
          <w:p>
            <w:pPr>
              <w:spacing w:line="360" w:lineRule="auto"/>
              <w:jc w:val="center"/>
              <w:rPr>
                <w:rFonts w:asciiTheme="minorEastAsia" w:hAnsiTheme="minorEastAsia" w:eastAsiaTheme="minorEastAsia" w:cstheme="minorEastAsia"/>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3062" w:type="dxa"/>
            <w:noWrap/>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投标报价（元）</w:t>
            </w:r>
          </w:p>
        </w:tc>
        <w:tc>
          <w:tcPr>
            <w:tcW w:w="5820" w:type="dxa"/>
            <w:noWrap/>
            <w:vAlign w:val="center"/>
          </w:tcPr>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大写：                小写：</w:t>
            </w:r>
            <w:r>
              <w:rPr>
                <w:rFonts w:hint="eastAsia" w:asciiTheme="minorEastAsia" w:hAnsiTheme="minorEastAsia" w:eastAsiaTheme="minorEastAsia" w:cstheme="minorEastAsia"/>
                <w:b/>
                <w:kern w:val="0"/>
                <w:szCs w:val="21"/>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07" w:hRule="exact"/>
        </w:trPr>
        <w:tc>
          <w:tcPr>
            <w:tcW w:w="3062" w:type="dxa"/>
            <w:noWrap/>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交货期</w:t>
            </w:r>
          </w:p>
        </w:tc>
        <w:tc>
          <w:tcPr>
            <w:tcW w:w="5820" w:type="dxa"/>
            <w:noWrap/>
            <w:vAlign w:val="center"/>
          </w:tcPr>
          <w:p>
            <w:pPr>
              <w:spacing w:line="360" w:lineRule="auto"/>
              <w:jc w:val="right"/>
              <w:rPr>
                <w:rFonts w:asciiTheme="minorEastAsia" w:hAnsiTheme="minorEastAsia" w:eastAsiaTheme="minorEastAsia" w:cstheme="minorEastAsia"/>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3062" w:type="dxa"/>
            <w:noWrap/>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质量保证期</w:t>
            </w:r>
          </w:p>
        </w:tc>
        <w:tc>
          <w:tcPr>
            <w:tcW w:w="5820" w:type="dxa"/>
            <w:noWrap/>
            <w:vAlign w:val="center"/>
          </w:tcPr>
          <w:p>
            <w:pPr>
              <w:spacing w:line="360" w:lineRule="auto"/>
              <w:jc w:val="right"/>
              <w:rPr>
                <w:rFonts w:asciiTheme="minorEastAsia" w:hAnsiTheme="minorEastAsia" w:eastAsiaTheme="minorEastAsia" w:cstheme="minorEastAsia"/>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3062" w:type="dxa"/>
            <w:noWrap/>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质量标准</w:t>
            </w:r>
          </w:p>
        </w:tc>
        <w:tc>
          <w:tcPr>
            <w:tcW w:w="5820" w:type="dxa"/>
            <w:noWrap/>
            <w:vAlign w:val="center"/>
          </w:tcPr>
          <w:p>
            <w:pPr>
              <w:spacing w:line="360" w:lineRule="auto"/>
              <w:jc w:val="center"/>
              <w:rPr>
                <w:rFonts w:asciiTheme="minorEastAsia" w:hAnsiTheme="minorEastAsia" w:eastAsiaTheme="minorEastAsia" w:cstheme="minorEastAsia"/>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3062" w:type="dxa"/>
            <w:noWrap/>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投标有效期</w:t>
            </w:r>
          </w:p>
        </w:tc>
        <w:tc>
          <w:tcPr>
            <w:tcW w:w="5820" w:type="dxa"/>
            <w:noWrap/>
          </w:tcPr>
          <w:p>
            <w:pPr>
              <w:rPr>
                <w:rFonts w:asciiTheme="minorEastAsia" w:hAnsiTheme="minorEastAsia" w:eastAsiaTheme="minorEastAsia" w:cstheme="minorEastAsia"/>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64" w:hRule="exact"/>
        </w:trPr>
        <w:tc>
          <w:tcPr>
            <w:tcW w:w="3062" w:type="dxa"/>
            <w:tcBorders>
              <w:bottom w:val="single" w:color="auto" w:sz="12" w:space="0"/>
            </w:tcBorders>
            <w:noWrap/>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c>
          <w:tcPr>
            <w:tcW w:w="5820" w:type="dxa"/>
            <w:tcBorders>
              <w:bottom w:val="single" w:color="auto" w:sz="12" w:space="0"/>
            </w:tcBorders>
            <w:noWrap/>
            <w:vAlign w:val="center"/>
          </w:tcPr>
          <w:p>
            <w:pPr>
              <w:spacing w:line="360" w:lineRule="auto"/>
              <w:jc w:val="center"/>
              <w:rPr>
                <w:rFonts w:asciiTheme="minorEastAsia" w:hAnsiTheme="minorEastAsia" w:eastAsiaTheme="minorEastAsia" w:cstheme="minorEastAsia"/>
                <w:szCs w:val="21"/>
              </w:rPr>
            </w:pPr>
          </w:p>
        </w:tc>
      </w:tr>
    </w:tbl>
    <w:p>
      <w:pPr>
        <w:spacing w:line="480" w:lineRule="auto"/>
        <w:ind w:left="-28" w:leftChars="-95" w:right="452" w:hanging="171" w:hangingChars="67"/>
        <w:jc w:val="center"/>
        <w:rPr>
          <w:rFonts w:asciiTheme="minorEastAsia" w:hAnsiTheme="minorEastAsia" w:eastAsiaTheme="minorEastAsia" w:cstheme="minorEastAsia"/>
          <w:spacing w:val="8"/>
          <w:sz w:val="24"/>
        </w:rPr>
      </w:pPr>
    </w:p>
    <w:p>
      <w:pPr>
        <w:spacing w:line="480" w:lineRule="auto"/>
        <w:ind w:left="-28" w:leftChars="-95" w:right="452" w:hanging="171" w:hangingChars="67"/>
        <w:jc w:val="center"/>
        <w:rPr>
          <w:rFonts w:asciiTheme="minorEastAsia" w:hAnsiTheme="minorEastAsia" w:eastAsiaTheme="minorEastAsia" w:cstheme="minorEastAsia"/>
          <w:spacing w:val="8"/>
          <w:sz w:val="24"/>
        </w:rPr>
      </w:pPr>
    </w:p>
    <w:p>
      <w:pPr>
        <w:wordWrap w:val="0"/>
        <w:autoSpaceDE w:val="0"/>
        <w:autoSpaceDN w:val="0"/>
        <w:adjustRightInd w:val="0"/>
        <w:spacing w:line="480" w:lineRule="auto"/>
        <w:ind w:right="1080" w:firstLine="420" w:firstLineChars="20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lang w:val="zh-CN"/>
        </w:rPr>
        <w:t xml:space="preserve"> 投标人（盖单位电子签章）:</w:t>
      </w:r>
    </w:p>
    <w:p>
      <w:pPr>
        <w:wordWrap w:val="0"/>
        <w:autoSpaceDE w:val="0"/>
        <w:autoSpaceDN w:val="0"/>
        <w:adjustRightInd w:val="0"/>
        <w:spacing w:line="360" w:lineRule="auto"/>
        <w:ind w:right="960" w:firstLine="840" w:firstLineChars="400"/>
        <w:rPr>
          <w:rFonts w:asciiTheme="minorEastAsia" w:hAnsiTheme="minorEastAsia" w:eastAsiaTheme="minorEastAsia" w:cstheme="minorEastAsia"/>
          <w:bCs/>
          <w:szCs w:val="21"/>
          <w:u w:val="single"/>
          <w:lang w:val="zh-CN"/>
        </w:rPr>
      </w:pPr>
      <w:r>
        <w:rPr>
          <w:rFonts w:hint="eastAsia" w:asciiTheme="minorEastAsia" w:hAnsiTheme="minorEastAsia" w:eastAsiaTheme="minorEastAsia" w:cstheme="minorEastAsia"/>
          <w:kern w:val="0"/>
          <w:szCs w:val="21"/>
        </w:rPr>
        <w:t>法定代表人或其委托代理人（签字或盖个人电子签章）：</w:t>
      </w:r>
    </w:p>
    <w:p>
      <w:pPr>
        <w:wordWrap w:val="0"/>
        <w:spacing w:line="480" w:lineRule="auto"/>
        <w:ind w:right="113" w:firstLine="2034" w:firstLineChars="900"/>
        <w:rPr>
          <w:rFonts w:asciiTheme="minorEastAsia" w:hAnsiTheme="minorEastAsia" w:eastAsiaTheme="minorEastAsia" w:cstheme="minorEastAsia"/>
          <w:spacing w:val="8"/>
          <w:szCs w:val="21"/>
        </w:rPr>
      </w:pPr>
      <w:r>
        <w:rPr>
          <w:rFonts w:hint="eastAsia" w:asciiTheme="minorEastAsia" w:hAnsiTheme="minorEastAsia" w:eastAsiaTheme="minorEastAsia" w:cstheme="minorEastAsia"/>
          <w:spacing w:val="8"/>
          <w:szCs w:val="21"/>
        </w:rPr>
        <w:t>日    期：</w:t>
      </w:r>
      <w:r>
        <w:rPr>
          <w:rFonts w:hint="eastAsia" w:asciiTheme="minorEastAsia" w:hAnsiTheme="minorEastAsia" w:eastAsiaTheme="minorEastAsia" w:cstheme="minorEastAsia"/>
          <w:szCs w:val="21"/>
        </w:rPr>
        <w:t>年月日</w:t>
      </w:r>
    </w:p>
    <w:p>
      <w:pPr>
        <w:pStyle w:val="4"/>
        <w:rPr>
          <w:rFonts w:asciiTheme="minorEastAsia" w:hAnsiTheme="minorEastAsia" w:eastAsiaTheme="minorEastAsia" w:cstheme="minorEastAsia"/>
          <w:b w:val="0"/>
        </w:rPr>
      </w:pPr>
      <w:bookmarkStart w:id="109" w:name="_Toc30599"/>
      <w:r>
        <w:rPr>
          <w:rFonts w:hint="eastAsia" w:asciiTheme="minorEastAsia" w:hAnsiTheme="minorEastAsia" w:eastAsiaTheme="minorEastAsia" w:cstheme="minorEastAsia"/>
          <w:sz w:val="21"/>
          <w:szCs w:val="21"/>
        </w:rPr>
        <w:br w:type="page"/>
      </w:r>
      <w:bookmarkStart w:id="110" w:name="_Toc9948"/>
      <w:bookmarkStart w:id="111" w:name="_Toc32325"/>
      <w:r>
        <w:rPr>
          <w:rStyle w:val="63"/>
          <w:rFonts w:hint="eastAsia" w:asciiTheme="minorEastAsia" w:hAnsiTheme="minorEastAsia" w:eastAsiaTheme="minorEastAsia" w:cstheme="minorEastAsia"/>
          <w:b/>
        </w:rPr>
        <w:t>二、</w:t>
      </w:r>
      <w:bookmarkEnd w:id="105"/>
      <w:bookmarkEnd w:id="106"/>
      <w:bookmarkEnd w:id="107"/>
      <w:r>
        <w:rPr>
          <w:rStyle w:val="63"/>
          <w:rFonts w:hint="eastAsia" w:asciiTheme="minorEastAsia" w:hAnsiTheme="minorEastAsia" w:eastAsiaTheme="minorEastAsia" w:cstheme="minorEastAsia"/>
          <w:b/>
        </w:rPr>
        <w:t>分项报价表</w:t>
      </w:r>
      <w:bookmarkEnd w:id="109"/>
      <w:bookmarkEnd w:id="110"/>
      <w:bookmarkEnd w:id="111"/>
    </w:p>
    <w:p>
      <w:pPr>
        <w:autoSpaceDE w:val="0"/>
        <w:autoSpaceDN w:val="0"/>
        <w:adjustRightInd w:val="0"/>
        <w:spacing w:line="480" w:lineRule="auto"/>
        <w:ind w:right="420" w:firstLine="4725" w:firstLineChars="2250"/>
        <w:rPr>
          <w:rFonts w:asciiTheme="minorEastAsia" w:hAnsiTheme="minorEastAsia" w:eastAsiaTheme="minorEastAsia" w:cstheme="minorEastAsia"/>
          <w:szCs w:val="21"/>
        </w:rPr>
      </w:pPr>
      <w:bookmarkStart w:id="112" w:name="_Toc24236"/>
    </w:p>
    <w:tbl>
      <w:tblPr>
        <w:tblStyle w:val="29"/>
        <w:tblpPr w:leftFromText="180" w:rightFromText="180" w:vertAnchor="text" w:horzAnchor="page" w:tblpX="1118" w:tblpY="243"/>
        <w:tblOverlap w:val="never"/>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1136"/>
        <w:gridCol w:w="1043"/>
        <w:gridCol w:w="1557"/>
        <w:gridCol w:w="1371"/>
        <w:gridCol w:w="988"/>
        <w:gridCol w:w="528"/>
        <w:gridCol w:w="815"/>
        <w:gridCol w:w="1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blHeader/>
        </w:trPr>
        <w:tc>
          <w:tcPr>
            <w:tcW w:w="777" w:type="dxa"/>
            <w:noWrap/>
            <w:vAlign w:val="center"/>
          </w:tcPr>
          <w:p>
            <w:pPr>
              <w:spacing w:line="300" w:lineRule="exac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序号</w:t>
            </w:r>
          </w:p>
        </w:tc>
        <w:tc>
          <w:tcPr>
            <w:tcW w:w="1136" w:type="dxa"/>
            <w:noWrap/>
            <w:vAlign w:val="center"/>
          </w:tcPr>
          <w:p>
            <w:pPr>
              <w:spacing w:line="300" w:lineRule="exact"/>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设备名称</w:t>
            </w:r>
          </w:p>
        </w:tc>
        <w:tc>
          <w:tcPr>
            <w:tcW w:w="1043" w:type="dxa"/>
            <w:noWrap/>
            <w:vAlign w:val="center"/>
          </w:tcPr>
          <w:p>
            <w:pPr>
              <w:spacing w:line="300" w:lineRule="exact"/>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品牌型号</w:t>
            </w:r>
          </w:p>
        </w:tc>
        <w:tc>
          <w:tcPr>
            <w:tcW w:w="1557" w:type="dxa"/>
            <w:noWrap/>
            <w:vAlign w:val="center"/>
          </w:tcPr>
          <w:p>
            <w:pPr>
              <w:spacing w:line="300" w:lineRule="exact"/>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制造厂（商）</w:t>
            </w:r>
          </w:p>
        </w:tc>
        <w:tc>
          <w:tcPr>
            <w:tcW w:w="1371" w:type="dxa"/>
            <w:noWrap/>
            <w:vAlign w:val="center"/>
          </w:tcPr>
          <w:p>
            <w:pPr>
              <w:spacing w:line="300" w:lineRule="exact"/>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原产地（国）</w:t>
            </w:r>
          </w:p>
        </w:tc>
        <w:tc>
          <w:tcPr>
            <w:tcW w:w="988" w:type="dxa"/>
            <w:noWrap/>
            <w:vAlign w:val="center"/>
          </w:tcPr>
          <w:p>
            <w:pPr>
              <w:spacing w:line="300" w:lineRule="exact"/>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数量</w:t>
            </w:r>
          </w:p>
        </w:tc>
        <w:tc>
          <w:tcPr>
            <w:tcW w:w="528" w:type="dxa"/>
            <w:noWrap/>
            <w:vAlign w:val="center"/>
          </w:tcPr>
          <w:p>
            <w:pPr>
              <w:spacing w:line="300" w:lineRule="exact"/>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单价</w:t>
            </w:r>
          </w:p>
        </w:tc>
        <w:tc>
          <w:tcPr>
            <w:tcW w:w="815" w:type="dxa"/>
            <w:noWrap/>
            <w:vAlign w:val="center"/>
          </w:tcPr>
          <w:p>
            <w:pPr>
              <w:spacing w:line="300" w:lineRule="exact"/>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合价</w:t>
            </w:r>
          </w:p>
        </w:tc>
        <w:tc>
          <w:tcPr>
            <w:tcW w:w="1242" w:type="dxa"/>
            <w:noWrap/>
            <w:vAlign w:val="center"/>
          </w:tcPr>
          <w:p>
            <w:pPr>
              <w:spacing w:line="300" w:lineRule="exact"/>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77" w:type="dxa"/>
            <w:noWrap/>
            <w:vAlign w:val="center"/>
          </w:tcPr>
          <w:p>
            <w:pPr>
              <w:spacing w:line="300" w:lineRule="exact"/>
              <w:ind w:firstLine="210" w:firstLineChars="1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1136" w:type="dxa"/>
            <w:noWrap/>
            <w:vAlign w:val="center"/>
          </w:tcPr>
          <w:p>
            <w:pPr>
              <w:spacing w:line="300" w:lineRule="exact"/>
              <w:jc w:val="center"/>
              <w:rPr>
                <w:rFonts w:asciiTheme="minorEastAsia" w:hAnsiTheme="minorEastAsia" w:eastAsiaTheme="minorEastAsia" w:cstheme="minorEastAsia"/>
                <w:szCs w:val="21"/>
              </w:rPr>
            </w:pPr>
          </w:p>
        </w:tc>
        <w:tc>
          <w:tcPr>
            <w:tcW w:w="1043" w:type="dxa"/>
            <w:noWrap/>
            <w:vAlign w:val="center"/>
          </w:tcPr>
          <w:p>
            <w:pPr>
              <w:spacing w:line="300" w:lineRule="exact"/>
              <w:ind w:firstLine="210"/>
              <w:rPr>
                <w:rFonts w:asciiTheme="minorEastAsia" w:hAnsiTheme="minorEastAsia" w:eastAsiaTheme="minorEastAsia" w:cstheme="minorEastAsia"/>
                <w:szCs w:val="21"/>
              </w:rPr>
            </w:pPr>
          </w:p>
        </w:tc>
        <w:tc>
          <w:tcPr>
            <w:tcW w:w="1557" w:type="dxa"/>
            <w:noWrap/>
            <w:vAlign w:val="center"/>
          </w:tcPr>
          <w:p>
            <w:pPr>
              <w:spacing w:line="300" w:lineRule="exact"/>
              <w:ind w:firstLine="210"/>
              <w:rPr>
                <w:rFonts w:asciiTheme="minorEastAsia" w:hAnsiTheme="minorEastAsia" w:eastAsiaTheme="minorEastAsia" w:cstheme="minorEastAsia"/>
                <w:szCs w:val="21"/>
              </w:rPr>
            </w:pPr>
          </w:p>
        </w:tc>
        <w:tc>
          <w:tcPr>
            <w:tcW w:w="1371" w:type="dxa"/>
            <w:noWrap/>
            <w:vAlign w:val="center"/>
          </w:tcPr>
          <w:p>
            <w:pPr>
              <w:spacing w:line="300" w:lineRule="exact"/>
              <w:ind w:firstLine="210"/>
              <w:rPr>
                <w:rFonts w:asciiTheme="minorEastAsia" w:hAnsiTheme="minorEastAsia" w:eastAsiaTheme="minorEastAsia" w:cstheme="minorEastAsia"/>
                <w:szCs w:val="21"/>
              </w:rPr>
            </w:pPr>
          </w:p>
        </w:tc>
        <w:tc>
          <w:tcPr>
            <w:tcW w:w="988" w:type="dxa"/>
            <w:noWrap/>
            <w:vAlign w:val="center"/>
          </w:tcPr>
          <w:p>
            <w:pPr>
              <w:spacing w:line="300" w:lineRule="exact"/>
              <w:rPr>
                <w:rFonts w:asciiTheme="minorEastAsia" w:hAnsiTheme="minorEastAsia" w:eastAsiaTheme="minorEastAsia" w:cstheme="minorEastAsia"/>
                <w:szCs w:val="21"/>
              </w:rPr>
            </w:pPr>
          </w:p>
        </w:tc>
        <w:tc>
          <w:tcPr>
            <w:tcW w:w="528" w:type="dxa"/>
            <w:noWrap/>
            <w:vAlign w:val="center"/>
          </w:tcPr>
          <w:p>
            <w:pPr>
              <w:jc w:val="center"/>
              <w:rPr>
                <w:rFonts w:asciiTheme="minorEastAsia" w:hAnsiTheme="minorEastAsia" w:eastAsiaTheme="minorEastAsia" w:cstheme="minorEastAsia"/>
                <w:szCs w:val="21"/>
              </w:rPr>
            </w:pPr>
          </w:p>
        </w:tc>
        <w:tc>
          <w:tcPr>
            <w:tcW w:w="815" w:type="dxa"/>
            <w:noWrap/>
            <w:vAlign w:val="center"/>
          </w:tcPr>
          <w:p>
            <w:pPr>
              <w:jc w:val="center"/>
              <w:rPr>
                <w:rFonts w:asciiTheme="minorEastAsia" w:hAnsiTheme="minorEastAsia" w:eastAsiaTheme="minorEastAsia" w:cstheme="minorEastAsia"/>
                <w:szCs w:val="21"/>
              </w:rPr>
            </w:pPr>
          </w:p>
        </w:tc>
        <w:tc>
          <w:tcPr>
            <w:tcW w:w="1242" w:type="dxa"/>
            <w:noWrap/>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77" w:type="dxa"/>
            <w:noWrap/>
            <w:vAlign w:val="center"/>
          </w:tcPr>
          <w:p>
            <w:pPr>
              <w:spacing w:line="300" w:lineRule="exact"/>
              <w:ind w:firstLine="210" w:firstLineChars="1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1136" w:type="dxa"/>
            <w:noWrap/>
            <w:vAlign w:val="center"/>
          </w:tcPr>
          <w:p>
            <w:pPr>
              <w:spacing w:line="300" w:lineRule="exact"/>
              <w:jc w:val="center"/>
              <w:rPr>
                <w:rFonts w:asciiTheme="minorEastAsia" w:hAnsiTheme="minorEastAsia" w:eastAsiaTheme="minorEastAsia" w:cstheme="minorEastAsia"/>
                <w:szCs w:val="21"/>
              </w:rPr>
            </w:pPr>
          </w:p>
        </w:tc>
        <w:tc>
          <w:tcPr>
            <w:tcW w:w="1043" w:type="dxa"/>
            <w:noWrap/>
            <w:vAlign w:val="center"/>
          </w:tcPr>
          <w:p>
            <w:pPr>
              <w:spacing w:line="300" w:lineRule="exact"/>
              <w:ind w:firstLine="210"/>
              <w:rPr>
                <w:rFonts w:asciiTheme="minorEastAsia" w:hAnsiTheme="minorEastAsia" w:eastAsiaTheme="minorEastAsia" w:cstheme="minorEastAsia"/>
                <w:szCs w:val="21"/>
              </w:rPr>
            </w:pPr>
          </w:p>
        </w:tc>
        <w:tc>
          <w:tcPr>
            <w:tcW w:w="1557" w:type="dxa"/>
            <w:noWrap/>
            <w:vAlign w:val="center"/>
          </w:tcPr>
          <w:p>
            <w:pPr>
              <w:spacing w:line="300" w:lineRule="exact"/>
              <w:ind w:firstLine="210"/>
              <w:rPr>
                <w:rFonts w:asciiTheme="minorEastAsia" w:hAnsiTheme="minorEastAsia" w:eastAsiaTheme="minorEastAsia" w:cstheme="minorEastAsia"/>
                <w:szCs w:val="21"/>
              </w:rPr>
            </w:pPr>
          </w:p>
        </w:tc>
        <w:tc>
          <w:tcPr>
            <w:tcW w:w="1371" w:type="dxa"/>
            <w:noWrap/>
            <w:vAlign w:val="center"/>
          </w:tcPr>
          <w:p>
            <w:pPr>
              <w:spacing w:line="300" w:lineRule="exact"/>
              <w:ind w:firstLine="210"/>
              <w:rPr>
                <w:rFonts w:asciiTheme="minorEastAsia" w:hAnsiTheme="minorEastAsia" w:eastAsiaTheme="minorEastAsia" w:cstheme="minorEastAsia"/>
                <w:szCs w:val="21"/>
              </w:rPr>
            </w:pPr>
          </w:p>
        </w:tc>
        <w:tc>
          <w:tcPr>
            <w:tcW w:w="988" w:type="dxa"/>
            <w:noWrap/>
            <w:vAlign w:val="center"/>
          </w:tcPr>
          <w:p>
            <w:pPr>
              <w:spacing w:line="300" w:lineRule="exact"/>
              <w:rPr>
                <w:rFonts w:asciiTheme="minorEastAsia" w:hAnsiTheme="minorEastAsia" w:eastAsiaTheme="minorEastAsia" w:cstheme="minorEastAsia"/>
                <w:szCs w:val="21"/>
              </w:rPr>
            </w:pPr>
          </w:p>
        </w:tc>
        <w:tc>
          <w:tcPr>
            <w:tcW w:w="528" w:type="dxa"/>
            <w:noWrap/>
            <w:vAlign w:val="center"/>
          </w:tcPr>
          <w:p>
            <w:pPr>
              <w:jc w:val="center"/>
              <w:rPr>
                <w:rFonts w:asciiTheme="minorEastAsia" w:hAnsiTheme="minorEastAsia" w:eastAsiaTheme="minorEastAsia" w:cstheme="minorEastAsia"/>
                <w:szCs w:val="21"/>
              </w:rPr>
            </w:pPr>
          </w:p>
        </w:tc>
        <w:tc>
          <w:tcPr>
            <w:tcW w:w="815" w:type="dxa"/>
            <w:noWrap/>
            <w:vAlign w:val="center"/>
          </w:tcPr>
          <w:p>
            <w:pPr>
              <w:jc w:val="center"/>
              <w:rPr>
                <w:rFonts w:asciiTheme="minorEastAsia" w:hAnsiTheme="minorEastAsia" w:eastAsiaTheme="minorEastAsia" w:cstheme="minorEastAsia"/>
                <w:szCs w:val="21"/>
              </w:rPr>
            </w:pPr>
          </w:p>
        </w:tc>
        <w:tc>
          <w:tcPr>
            <w:tcW w:w="1242" w:type="dxa"/>
            <w:noWrap/>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77" w:type="dxa"/>
            <w:noWrap/>
            <w:vAlign w:val="center"/>
          </w:tcPr>
          <w:p>
            <w:pPr>
              <w:spacing w:line="300" w:lineRule="exact"/>
              <w:ind w:firstLine="210" w:firstLineChars="1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1136" w:type="dxa"/>
            <w:noWrap/>
            <w:vAlign w:val="center"/>
          </w:tcPr>
          <w:p>
            <w:pPr>
              <w:spacing w:line="300" w:lineRule="exact"/>
              <w:jc w:val="center"/>
              <w:rPr>
                <w:rFonts w:asciiTheme="minorEastAsia" w:hAnsiTheme="minorEastAsia" w:eastAsiaTheme="minorEastAsia" w:cstheme="minorEastAsia"/>
                <w:szCs w:val="21"/>
              </w:rPr>
            </w:pPr>
          </w:p>
        </w:tc>
        <w:tc>
          <w:tcPr>
            <w:tcW w:w="1043" w:type="dxa"/>
            <w:noWrap/>
            <w:vAlign w:val="center"/>
          </w:tcPr>
          <w:p>
            <w:pPr>
              <w:spacing w:line="300" w:lineRule="exact"/>
              <w:ind w:firstLine="210"/>
              <w:rPr>
                <w:rFonts w:asciiTheme="minorEastAsia" w:hAnsiTheme="minorEastAsia" w:eastAsiaTheme="minorEastAsia" w:cstheme="minorEastAsia"/>
                <w:szCs w:val="21"/>
              </w:rPr>
            </w:pPr>
          </w:p>
        </w:tc>
        <w:tc>
          <w:tcPr>
            <w:tcW w:w="1557" w:type="dxa"/>
            <w:noWrap/>
            <w:vAlign w:val="center"/>
          </w:tcPr>
          <w:p>
            <w:pPr>
              <w:spacing w:line="300" w:lineRule="exact"/>
              <w:ind w:firstLine="210"/>
              <w:rPr>
                <w:rFonts w:asciiTheme="minorEastAsia" w:hAnsiTheme="minorEastAsia" w:eastAsiaTheme="minorEastAsia" w:cstheme="minorEastAsia"/>
                <w:szCs w:val="21"/>
              </w:rPr>
            </w:pPr>
          </w:p>
        </w:tc>
        <w:tc>
          <w:tcPr>
            <w:tcW w:w="1371" w:type="dxa"/>
            <w:noWrap/>
            <w:vAlign w:val="center"/>
          </w:tcPr>
          <w:p>
            <w:pPr>
              <w:spacing w:line="300" w:lineRule="exact"/>
              <w:ind w:firstLine="210"/>
              <w:rPr>
                <w:rFonts w:asciiTheme="minorEastAsia" w:hAnsiTheme="minorEastAsia" w:eastAsiaTheme="minorEastAsia" w:cstheme="minorEastAsia"/>
                <w:szCs w:val="21"/>
              </w:rPr>
            </w:pPr>
          </w:p>
        </w:tc>
        <w:tc>
          <w:tcPr>
            <w:tcW w:w="988" w:type="dxa"/>
            <w:noWrap/>
            <w:vAlign w:val="center"/>
          </w:tcPr>
          <w:p>
            <w:pPr>
              <w:spacing w:line="300" w:lineRule="exact"/>
              <w:rPr>
                <w:rFonts w:asciiTheme="minorEastAsia" w:hAnsiTheme="minorEastAsia" w:eastAsiaTheme="minorEastAsia" w:cstheme="minorEastAsia"/>
                <w:szCs w:val="21"/>
              </w:rPr>
            </w:pPr>
          </w:p>
        </w:tc>
        <w:tc>
          <w:tcPr>
            <w:tcW w:w="528" w:type="dxa"/>
            <w:noWrap/>
            <w:vAlign w:val="center"/>
          </w:tcPr>
          <w:p>
            <w:pPr>
              <w:jc w:val="center"/>
              <w:rPr>
                <w:rFonts w:asciiTheme="minorEastAsia" w:hAnsiTheme="minorEastAsia" w:eastAsiaTheme="minorEastAsia" w:cstheme="minorEastAsia"/>
                <w:szCs w:val="21"/>
              </w:rPr>
            </w:pPr>
          </w:p>
        </w:tc>
        <w:tc>
          <w:tcPr>
            <w:tcW w:w="815" w:type="dxa"/>
            <w:noWrap/>
            <w:vAlign w:val="center"/>
          </w:tcPr>
          <w:p>
            <w:pPr>
              <w:jc w:val="center"/>
              <w:rPr>
                <w:rFonts w:asciiTheme="minorEastAsia" w:hAnsiTheme="minorEastAsia" w:eastAsiaTheme="minorEastAsia" w:cstheme="minorEastAsia"/>
                <w:szCs w:val="21"/>
              </w:rPr>
            </w:pPr>
          </w:p>
        </w:tc>
        <w:tc>
          <w:tcPr>
            <w:tcW w:w="1242" w:type="dxa"/>
            <w:noWrap/>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77" w:type="dxa"/>
            <w:noWrap/>
            <w:vAlign w:val="center"/>
          </w:tcPr>
          <w:p>
            <w:pPr>
              <w:spacing w:line="300" w:lineRule="exact"/>
              <w:ind w:firstLine="210" w:firstLineChars="1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1136" w:type="dxa"/>
            <w:noWrap/>
            <w:vAlign w:val="center"/>
          </w:tcPr>
          <w:p>
            <w:pPr>
              <w:spacing w:line="300" w:lineRule="exact"/>
              <w:jc w:val="center"/>
              <w:rPr>
                <w:rFonts w:asciiTheme="minorEastAsia" w:hAnsiTheme="minorEastAsia" w:eastAsiaTheme="minorEastAsia" w:cstheme="minorEastAsia"/>
                <w:szCs w:val="21"/>
              </w:rPr>
            </w:pPr>
          </w:p>
        </w:tc>
        <w:tc>
          <w:tcPr>
            <w:tcW w:w="1043" w:type="dxa"/>
            <w:noWrap/>
            <w:vAlign w:val="center"/>
          </w:tcPr>
          <w:p>
            <w:pPr>
              <w:spacing w:line="300" w:lineRule="exact"/>
              <w:ind w:firstLine="210"/>
              <w:rPr>
                <w:rFonts w:asciiTheme="minorEastAsia" w:hAnsiTheme="minorEastAsia" w:eastAsiaTheme="minorEastAsia" w:cstheme="minorEastAsia"/>
                <w:szCs w:val="21"/>
              </w:rPr>
            </w:pPr>
          </w:p>
        </w:tc>
        <w:tc>
          <w:tcPr>
            <w:tcW w:w="1557" w:type="dxa"/>
            <w:noWrap/>
            <w:vAlign w:val="center"/>
          </w:tcPr>
          <w:p>
            <w:pPr>
              <w:spacing w:line="300" w:lineRule="exact"/>
              <w:ind w:firstLine="210"/>
              <w:rPr>
                <w:rFonts w:asciiTheme="minorEastAsia" w:hAnsiTheme="minorEastAsia" w:eastAsiaTheme="minorEastAsia" w:cstheme="minorEastAsia"/>
                <w:szCs w:val="21"/>
              </w:rPr>
            </w:pPr>
          </w:p>
        </w:tc>
        <w:tc>
          <w:tcPr>
            <w:tcW w:w="1371" w:type="dxa"/>
            <w:noWrap/>
            <w:vAlign w:val="center"/>
          </w:tcPr>
          <w:p>
            <w:pPr>
              <w:spacing w:line="300" w:lineRule="exact"/>
              <w:ind w:firstLine="210"/>
              <w:rPr>
                <w:rFonts w:asciiTheme="minorEastAsia" w:hAnsiTheme="minorEastAsia" w:eastAsiaTheme="minorEastAsia" w:cstheme="minorEastAsia"/>
                <w:szCs w:val="21"/>
              </w:rPr>
            </w:pPr>
          </w:p>
        </w:tc>
        <w:tc>
          <w:tcPr>
            <w:tcW w:w="988" w:type="dxa"/>
            <w:noWrap/>
            <w:vAlign w:val="center"/>
          </w:tcPr>
          <w:p>
            <w:pPr>
              <w:spacing w:line="300" w:lineRule="exact"/>
              <w:rPr>
                <w:rFonts w:asciiTheme="minorEastAsia" w:hAnsiTheme="minorEastAsia" w:eastAsiaTheme="minorEastAsia" w:cstheme="minorEastAsia"/>
                <w:szCs w:val="21"/>
              </w:rPr>
            </w:pPr>
          </w:p>
        </w:tc>
        <w:tc>
          <w:tcPr>
            <w:tcW w:w="528" w:type="dxa"/>
            <w:noWrap/>
            <w:vAlign w:val="center"/>
          </w:tcPr>
          <w:p>
            <w:pPr>
              <w:jc w:val="center"/>
              <w:rPr>
                <w:rFonts w:asciiTheme="minorEastAsia" w:hAnsiTheme="minorEastAsia" w:eastAsiaTheme="minorEastAsia" w:cstheme="minorEastAsia"/>
                <w:szCs w:val="21"/>
              </w:rPr>
            </w:pPr>
          </w:p>
        </w:tc>
        <w:tc>
          <w:tcPr>
            <w:tcW w:w="815" w:type="dxa"/>
            <w:noWrap/>
            <w:vAlign w:val="center"/>
          </w:tcPr>
          <w:p>
            <w:pPr>
              <w:jc w:val="center"/>
              <w:rPr>
                <w:rFonts w:asciiTheme="minorEastAsia" w:hAnsiTheme="minorEastAsia" w:eastAsiaTheme="minorEastAsia" w:cstheme="minorEastAsia"/>
                <w:szCs w:val="21"/>
              </w:rPr>
            </w:pPr>
          </w:p>
        </w:tc>
        <w:tc>
          <w:tcPr>
            <w:tcW w:w="1242" w:type="dxa"/>
            <w:noWrap/>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77" w:type="dxa"/>
            <w:noWrap/>
            <w:vAlign w:val="center"/>
          </w:tcPr>
          <w:p>
            <w:pPr>
              <w:spacing w:line="3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p>
        </w:tc>
        <w:tc>
          <w:tcPr>
            <w:tcW w:w="1136" w:type="dxa"/>
            <w:noWrap/>
            <w:vAlign w:val="center"/>
          </w:tcPr>
          <w:p>
            <w:pPr>
              <w:spacing w:line="300" w:lineRule="exact"/>
              <w:jc w:val="center"/>
              <w:rPr>
                <w:rFonts w:asciiTheme="minorEastAsia" w:hAnsiTheme="minorEastAsia" w:eastAsiaTheme="minorEastAsia" w:cstheme="minorEastAsia"/>
                <w:szCs w:val="21"/>
              </w:rPr>
            </w:pPr>
          </w:p>
        </w:tc>
        <w:tc>
          <w:tcPr>
            <w:tcW w:w="1043" w:type="dxa"/>
            <w:noWrap/>
            <w:vAlign w:val="center"/>
          </w:tcPr>
          <w:p>
            <w:pPr>
              <w:spacing w:line="300" w:lineRule="exact"/>
              <w:ind w:firstLine="210"/>
              <w:rPr>
                <w:rFonts w:asciiTheme="minorEastAsia" w:hAnsiTheme="minorEastAsia" w:eastAsiaTheme="minorEastAsia" w:cstheme="minorEastAsia"/>
                <w:szCs w:val="21"/>
              </w:rPr>
            </w:pPr>
          </w:p>
        </w:tc>
        <w:tc>
          <w:tcPr>
            <w:tcW w:w="1557" w:type="dxa"/>
            <w:noWrap/>
            <w:vAlign w:val="center"/>
          </w:tcPr>
          <w:p>
            <w:pPr>
              <w:spacing w:line="300" w:lineRule="exact"/>
              <w:ind w:firstLine="210"/>
              <w:rPr>
                <w:rFonts w:asciiTheme="minorEastAsia" w:hAnsiTheme="minorEastAsia" w:eastAsiaTheme="minorEastAsia" w:cstheme="minorEastAsia"/>
                <w:szCs w:val="21"/>
              </w:rPr>
            </w:pPr>
          </w:p>
        </w:tc>
        <w:tc>
          <w:tcPr>
            <w:tcW w:w="1371" w:type="dxa"/>
            <w:noWrap/>
            <w:vAlign w:val="center"/>
          </w:tcPr>
          <w:p>
            <w:pPr>
              <w:spacing w:line="300" w:lineRule="exact"/>
              <w:ind w:firstLine="210"/>
              <w:rPr>
                <w:rFonts w:asciiTheme="minorEastAsia" w:hAnsiTheme="minorEastAsia" w:eastAsiaTheme="minorEastAsia" w:cstheme="minorEastAsia"/>
                <w:szCs w:val="21"/>
              </w:rPr>
            </w:pPr>
          </w:p>
        </w:tc>
        <w:tc>
          <w:tcPr>
            <w:tcW w:w="988" w:type="dxa"/>
            <w:noWrap/>
            <w:vAlign w:val="center"/>
          </w:tcPr>
          <w:p>
            <w:pPr>
              <w:spacing w:line="300" w:lineRule="exact"/>
              <w:rPr>
                <w:rFonts w:asciiTheme="minorEastAsia" w:hAnsiTheme="minorEastAsia" w:eastAsiaTheme="minorEastAsia" w:cstheme="minorEastAsia"/>
                <w:szCs w:val="21"/>
              </w:rPr>
            </w:pPr>
          </w:p>
        </w:tc>
        <w:tc>
          <w:tcPr>
            <w:tcW w:w="528" w:type="dxa"/>
            <w:noWrap/>
            <w:vAlign w:val="center"/>
          </w:tcPr>
          <w:p>
            <w:pPr>
              <w:jc w:val="center"/>
              <w:rPr>
                <w:rFonts w:asciiTheme="minorEastAsia" w:hAnsiTheme="minorEastAsia" w:eastAsiaTheme="minorEastAsia" w:cstheme="minorEastAsia"/>
                <w:szCs w:val="21"/>
              </w:rPr>
            </w:pPr>
          </w:p>
        </w:tc>
        <w:tc>
          <w:tcPr>
            <w:tcW w:w="815" w:type="dxa"/>
            <w:noWrap/>
            <w:vAlign w:val="center"/>
          </w:tcPr>
          <w:p>
            <w:pPr>
              <w:jc w:val="center"/>
              <w:rPr>
                <w:rFonts w:asciiTheme="minorEastAsia" w:hAnsiTheme="minorEastAsia" w:eastAsiaTheme="minorEastAsia" w:cstheme="minorEastAsia"/>
                <w:szCs w:val="21"/>
              </w:rPr>
            </w:pPr>
          </w:p>
        </w:tc>
        <w:tc>
          <w:tcPr>
            <w:tcW w:w="1242" w:type="dxa"/>
            <w:noWrap/>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9457" w:type="dxa"/>
            <w:gridSpan w:val="9"/>
            <w:noWrap/>
            <w:vAlign w:val="center"/>
          </w:tcPr>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合计：  小写：￥         元     大写：人民币元整</w:t>
            </w:r>
          </w:p>
        </w:tc>
      </w:tr>
    </w:tbl>
    <w:p>
      <w:pPr>
        <w:pStyle w:val="11"/>
        <w:rPr>
          <w:rFonts w:asciiTheme="minorEastAsia" w:hAnsiTheme="minorEastAsia" w:eastAsiaTheme="minorEastAsia" w:cstheme="minorEastAsia"/>
          <w:szCs w:val="21"/>
        </w:rPr>
      </w:pPr>
    </w:p>
    <w:p>
      <w:pPr>
        <w:wordWrap w:val="0"/>
        <w:autoSpaceDE w:val="0"/>
        <w:autoSpaceDN w:val="0"/>
        <w:adjustRightInd w:val="0"/>
        <w:spacing w:line="480" w:lineRule="auto"/>
        <w:ind w:right="1080" w:firstLine="420" w:firstLineChars="20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lang w:val="zh-CN"/>
        </w:rPr>
        <w:t xml:space="preserve"> 投标人（盖单位电子签章）:</w:t>
      </w:r>
    </w:p>
    <w:p>
      <w:pPr>
        <w:wordWrap w:val="0"/>
        <w:autoSpaceDE w:val="0"/>
        <w:autoSpaceDN w:val="0"/>
        <w:adjustRightInd w:val="0"/>
        <w:spacing w:line="360" w:lineRule="auto"/>
        <w:ind w:right="960"/>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kern w:val="0"/>
          <w:szCs w:val="21"/>
        </w:rPr>
        <w:t>法定代表人或其委托代理人（签字或盖个人电子签章）：</w:t>
      </w:r>
    </w:p>
    <w:p>
      <w:pPr>
        <w:wordWrap w:val="0"/>
        <w:spacing w:line="480" w:lineRule="auto"/>
        <w:ind w:right="113" w:firstLine="2938" w:firstLineChars="1300"/>
        <w:rPr>
          <w:rFonts w:asciiTheme="minorEastAsia" w:hAnsiTheme="minorEastAsia" w:eastAsiaTheme="minorEastAsia" w:cstheme="minorEastAsia"/>
          <w:spacing w:val="8"/>
          <w:szCs w:val="21"/>
        </w:rPr>
      </w:pPr>
      <w:r>
        <w:rPr>
          <w:rFonts w:hint="eastAsia" w:asciiTheme="minorEastAsia" w:hAnsiTheme="minorEastAsia" w:eastAsiaTheme="minorEastAsia" w:cstheme="minorEastAsia"/>
          <w:spacing w:val="8"/>
          <w:szCs w:val="21"/>
        </w:rPr>
        <w:t>日    期：</w:t>
      </w:r>
      <w:r>
        <w:rPr>
          <w:rFonts w:hint="eastAsia" w:asciiTheme="minorEastAsia" w:hAnsiTheme="minorEastAsia" w:eastAsiaTheme="minorEastAsia" w:cstheme="minorEastAsia"/>
          <w:szCs w:val="21"/>
        </w:rPr>
        <w:t>年月日</w:t>
      </w:r>
    </w:p>
    <w:p>
      <w:pPr>
        <w:pStyle w:val="28"/>
        <w:tabs>
          <w:tab w:val="left" w:pos="1158"/>
          <w:tab w:val="left" w:pos="1544"/>
          <w:tab w:val="clear" w:pos="945"/>
          <w:tab w:val="clear" w:pos="1155"/>
        </w:tabs>
        <w:ind w:firstLine="3885" w:firstLineChars="1850"/>
        <w:rPr>
          <w:rFonts w:asciiTheme="minorEastAsia" w:hAnsiTheme="minorEastAsia" w:eastAsiaTheme="minorEastAsia" w:cstheme="minorEastAsia"/>
        </w:rPr>
      </w:pPr>
    </w:p>
    <w:p>
      <w:pPr>
        <w:pStyle w:val="4"/>
        <w:rPr>
          <w:rStyle w:val="63"/>
          <w:rFonts w:asciiTheme="minorEastAsia" w:hAnsiTheme="minorEastAsia" w:eastAsiaTheme="minorEastAsia" w:cstheme="minorEastAsia"/>
          <w:b/>
        </w:rPr>
      </w:pPr>
      <w:r>
        <w:rPr>
          <w:rStyle w:val="63"/>
          <w:rFonts w:hint="eastAsia" w:asciiTheme="minorEastAsia" w:hAnsiTheme="minorEastAsia" w:eastAsiaTheme="minorEastAsia" w:cstheme="minorEastAsia"/>
          <w:b/>
        </w:rPr>
        <w:br w:type="page"/>
      </w:r>
      <w:bookmarkStart w:id="113" w:name="_Toc8143"/>
      <w:bookmarkStart w:id="114" w:name="_Toc30465"/>
      <w:r>
        <w:rPr>
          <w:rStyle w:val="63"/>
          <w:rFonts w:hint="eastAsia" w:asciiTheme="minorEastAsia" w:hAnsiTheme="minorEastAsia" w:eastAsiaTheme="minorEastAsia" w:cstheme="minorEastAsia"/>
          <w:b/>
        </w:rPr>
        <w:t>三、服务规格和商务条款偏离表</w:t>
      </w:r>
      <w:bookmarkEnd w:id="112"/>
      <w:bookmarkEnd w:id="113"/>
      <w:bookmarkEnd w:id="114"/>
    </w:p>
    <w:p>
      <w:pPr>
        <w:spacing w:line="240" w:lineRule="atLeast"/>
        <w:ind w:left="3360"/>
        <w:rPr>
          <w:rFonts w:asciiTheme="minorEastAsia" w:hAnsiTheme="minorEastAsia" w:eastAsiaTheme="minorEastAsia" w:cstheme="minorEastAsia"/>
          <w:b/>
          <w:sz w:val="28"/>
        </w:rPr>
      </w:pPr>
      <w:r>
        <w:rPr>
          <w:rFonts w:hint="eastAsia" w:asciiTheme="minorEastAsia" w:hAnsiTheme="minorEastAsia" w:eastAsiaTheme="minorEastAsia" w:cstheme="minorEastAsia"/>
          <w:b/>
          <w:sz w:val="28"/>
        </w:rPr>
        <w:t>（一）服务规格偏离表</w:t>
      </w:r>
    </w:p>
    <w:p>
      <w:pPr>
        <w:spacing w:line="360" w:lineRule="auto"/>
        <w:ind w:left="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w:t>
      </w:r>
    </w:p>
    <w:p>
      <w:pPr>
        <w:spacing w:line="360" w:lineRule="auto"/>
        <w:ind w:left="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采购编号：</w:t>
      </w:r>
    </w:p>
    <w:tbl>
      <w:tblPr>
        <w:tblStyle w:val="29"/>
        <w:tblpPr w:leftFromText="180" w:rightFromText="180" w:vertAnchor="text" w:horzAnchor="page" w:tblpX="1240" w:tblpY="38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701"/>
        <w:gridCol w:w="1843"/>
        <w:gridCol w:w="1843"/>
        <w:gridCol w:w="1559"/>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 w:hRule="atLeast"/>
        </w:trPr>
        <w:tc>
          <w:tcPr>
            <w:tcW w:w="817" w:type="dxa"/>
            <w:noWrap/>
            <w:vAlign w:val="center"/>
          </w:tcPr>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序号</w:t>
            </w:r>
          </w:p>
        </w:tc>
        <w:tc>
          <w:tcPr>
            <w:tcW w:w="1701" w:type="dxa"/>
            <w:noWrap/>
            <w:vAlign w:val="center"/>
          </w:tcPr>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产品名称</w:t>
            </w:r>
          </w:p>
        </w:tc>
        <w:tc>
          <w:tcPr>
            <w:tcW w:w="1843" w:type="dxa"/>
            <w:noWrap/>
            <w:vAlign w:val="center"/>
          </w:tcPr>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招标文件</w:t>
            </w:r>
          </w:p>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技术参数</w:t>
            </w:r>
          </w:p>
        </w:tc>
        <w:tc>
          <w:tcPr>
            <w:tcW w:w="1843" w:type="dxa"/>
            <w:noWrap/>
            <w:vAlign w:val="center"/>
          </w:tcPr>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投标文件</w:t>
            </w:r>
          </w:p>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技术参数</w:t>
            </w:r>
          </w:p>
        </w:tc>
        <w:tc>
          <w:tcPr>
            <w:tcW w:w="1559" w:type="dxa"/>
            <w:noWrap/>
            <w:vAlign w:val="center"/>
          </w:tcPr>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偏离</w:t>
            </w:r>
          </w:p>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 xml:space="preserve"> (正/负/无)</w:t>
            </w:r>
          </w:p>
        </w:tc>
        <w:tc>
          <w:tcPr>
            <w:tcW w:w="1559" w:type="dxa"/>
            <w:noWrap/>
            <w:vAlign w:val="center"/>
          </w:tcPr>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817" w:type="dxa"/>
            <w:noWrap/>
            <w:vAlign w:val="center"/>
          </w:tcPr>
          <w:p>
            <w:pPr>
              <w:spacing w:line="360" w:lineRule="auto"/>
              <w:jc w:val="center"/>
              <w:rPr>
                <w:rFonts w:asciiTheme="minorEastAsia" w:hAnsiTheme="minorEastAsia" w:eastAsiaTheme="minorEastAsia" w:cstheme="minorEastAsia"/>
                <w:bCs/>
                <w:szCs w:val="21"/>
              </w:rPr>
            </w:pPr>
          </w:p>
        </w:tc>
        <w:tc>
          <w:tcPr>
            <w:tcW w:w="1701" w:type="dxa"/>
            <w:noWrap/>
          </w:tcPr>
          <w:p>
            <w:pPr>
              <w:spacing w:line="360" w:lineRule="auto"/>
              <w:jc w:val="center"/>
              <w:rPr>
                <w:rFonts w:asciiTheme="minorEastAsia" w:hAnsiTheme="minorEastAsia" w:eastAsiaTheme="minorEastAsia" w:cstheme="minorEastAsia"/>
                <w:bCs/>
                <w:szCs w:val="21"/>
              </w:rPr>
            </w:pPr>
          </w:p>
        </w:tc>
        <w:tc>
          <w:tcPr>
            <w:tcW w:w="1843" w:type="dxa"/>
            <w:noWrap/>
            <w:vAlign w:val="center"/>
          </w:tcPr>
          <w:p>
            <w:pPr>
              <w:spacing w:line="360" w:lineRule="auto"/>
              <w:jc w:val="center"/>
              <w:rPr>
                <w:rFonts w:asciiTheme="minorEastAsia" w:hAnsiTheme="minorEastAsia" w:eastAsiaTheme="minorEastAsia" w:cstheme="minorEastAsia"/>
                <w:bCs/>
                <w:szCs w:val="21"/>
              </w:rPr>
            </w:pPr>
          </w:p>
        </w:tc>
        <w:tc>
          <w:tcPr>
            <w:tcW w:w="1843" w:type="dxa"/>
            <w:noWrap/>
            <w:vAlign w:val="center"/>
          </w:tcPr>
          <w:p>
            <w:pPr>
              <w:spacing w:line="360" w:lineRule="auto"/>
              <w:jc w:val="center"/>
              <w:rPr>
                <w:rFonts w:asciiTheme="minorEastAsia" w:hAnsiTheme="minorEastAsia" w:eastAsiaTheme="minorEastAsia" w:cstheme="minorEastAsia"/>
                <w:bCs/>
                <w:szCs w:val="21"/>
              </w:rPr>
            </w:pPr>
          </w:p>
        </w:tc>
        <w:tc>
          <w:tcPr>
            <w:tcW w:w="1559" w:type="dxa"/>
            <w:noWrap/>
            <w:vAlign w:val="center"/>
          </w:tcPr>
          <w:p>
            <w:pPr>
              <w:spacing w:line="360" w:lineRule="auto"/>
              <w:jc w:val="center"/>
              <w:rPr>
                <w:rFonts w:asciiTheme="minorEastAsia" w:hAnsiTheme="minorEastAsia" w:eastAsiaTheme="minorEastAsia" w:cstheme="minorEastAsia"/>
                <w:bCs/>
                <w:szCs w:val="21"/>
              </w:rPr>
            </w:pPr>
          </w:p>
        </w:tc>
        <w:tc>
          <w:tcPr>
            <w:tcW w:w="1559" w:type="dxa"/>
            <w:noWrap/>
            <w:vAlign w:val="center"/>
          </w:tcPr>
          <w:p>
            <w:pPr>
              <w:spacing w:line="360" w:lineRule="auto"/>
              <w:jc w:val="center"/>
              <w:rPr>
                <w:rFonts w:asciiTheme="minorEastAsia" w:hAnsiTheme="minorEastAsia" w:eastAsiaTheme="minorEastAsia" w:cstheme="minorEastAsia"/>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817" w:type="dxa"/>
            <w:noWrap/>
            <w:vAlign w:val="center"/>
          </w:tcPr>
          <w:p>
            <w:pPr>
              <w:spacing w:line="360" w:lineRule="auto"/>
              <w:jc w:val="center"/>
              <w:rPr>
                <w:rFonts w:asciiTheme="minorEastAsia" w:hAnsiTheme="minorEastAsia" w:eastAsiaTheme="minorEastAsia" w:cstheme="minorEastAsia"/>
                <w:bCs/>
                <w:szCs w:val="21"/>
              </w:rPr>
            </w:pPr>
          </w:p>
        </w:tc>
        <w:tc>
          <w:tcPr>
            <w:tcW w:w="1701" w:type="dxa"/>
            <w:noWrap/>
          </w:tcPr>
          <w:p>
            <w:pPr>
              <w:spacing w:line="360" w:lineRule="auto"/>
              <w:jc w:val="center"/>
              <w:rPr>
                <w:rFonts w:asciiTheme="minorEastAsia" w:hAnsiTheme="minorEastAsia" w:eastAsiaTheme="minorEastAsia" w:cstheme="minorEastAsia"/>
                <w:bCs/>
                <w:szCs w:val="21"/>
              </w:rPr>
            </w:pPr>
          </w:p>
        </w:tc>
        <w:tc>
          <w:tcPr>
            <w:tcW w:w="1843" w:type="dxa"/>
            <w:noWrap/>
            <w:vAlign w:val="center"/>
          </w:tcPr>
          <w:p>
            <w:pPr>
              <w:spacing w:line="360" w:lineRule="auto"/>
              <w:jc w:val="center"/>
              <w:rPr>
                <w:rFonts w:asciiTheme="minorEastAsia" w:hAnsiTheme="minorEastAsia" w:eastAsiaTheme="minorEastAsia" w:cstheme="minorEastAsia"/>
                <w:bCs/>
                <w:szCs w:val="21"/>
              </w:rPr>
            </w:pPr>
          </w:p>
        </w:tc>
        <w:tc>
          <w:tcPr>
            <w:tcW w:w="1843" w:type="dxa"/>
            <w:noWrap/>
            <w:vAlign w:val="center"/>
          </w:tcPr>
          <w:p>
            <w:pPr>
              <w:spacing w:line="360" w:lineRule="auto"/>
              <w:jc w:val="center"/>
              <w:rPr>
                <w:rFonts w:asciiTheme="minorEastAsia" w:hAnsiTheme="minorEastAsia" w:eastAsiaTheme="minorEastAsia" w:cstheme="minorEastAsia"/>
                <w:bCs/>
                <w:szCs w:val="21"/>
              </w:rPr>
            </w:pPr>
          </w:p>
        </w:tc>
        <w:tc>
          <w:tcPr>
            <w:tcW w:w="1559" w:type="dxa"/>
            <w:noWrap/>
            <w:vAlign w:val="center"/>
          </w:tcPr>
          <w:p>
            <w:pPr>
              <w:spacing w:line="360" w:lineRule="auto"/>
              <w:jc w:val="center"/>
              <w:rPr>
                <w:rFonts w:asciiTheme="minorEastAsia" w:hAnsiTheme="minorEastAsia" w:eastAsiaTheme="minorEastAsia" w:cstheme="minorEastAsia"/>
                <w:bCs/>
                <w:szCs w:val="21"/>
              </w:rPr>
            </w:pPr>
          </w:p>
        </w:tc>
        <w:tc>
          <w:tcPr>
            <w:tcW w:w="1559" w:type="dxa"/>
            <w:noWrap/>
            <w:vAlign w:val="center"/>
          </w:tcPr>
          <w:p>
            <w:pPr>
              <w:spacing w:line="360" w:lineRule="auto"/>
              <w:jc w:val="center"/>
              <w:rPr>
                <w:rFonts w:asciiTheme="minorEastAsia" w:hAnsiTheme="minorEastAsia" w:eastAsiaTheme="minorEastAsia" w:cstheme="minorEastAsia"/>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817" w:type="dxa"/>
            <w:noWrap/>
            <w:vAlign w:val="center"/>
          </w:tcPr>
          <w:p>
            <w:pPr>
              <w:spacing w:line="360" w:lineRule="auto"/>
              <w:jc w:val="center"/>
              <w:rPr>
                <w:rFonts w:asciiTheme="minorEastAsia" w:hAnsiTheme="minorEastAsia" w:eastAsiaTheme="minorEastAsia" w:cstheme="minorEastAsia"/>
                <w:bCs/>
                <w:szCs w:val="21"/>
              </w:rPr>
            </w:pPr>
          </w:p>
        </w:tc>
        <w:tc>
          <w:tcPr>
            <w:tcW w:w="1701" w:type="dxa"/>
            <w:noWrap/>
          </w:tcPr>
          <w:p>
            <w:pPr>
              <w:spacing w:line="360" w:lineRule="auto"/>
              <w:jc w:val="center"/>
              <w:rPr>
                <w:rFonts w:asciiTheme="minorEastAsia" w:hAnsiTheme="minorEastAsia" w:eastAsiaTheme="minorEastAsia" w:cstheme="minorEastAsia"/>
                <w:bCs/>
                <w:szCs w:val="21"/>
              </w:rPr>
            </w:pPr>
          </w:p>
        </w:tc>
        <w:tc>
          <w:tcPr>
            <w:tcW w:w="1843" w:type="dxa"/>
            <w:noWrap/>
            <w:vAlign w:val="center"/>
          </w:tcPr>
          <w:p>
            <w:pPr>
              <w:spacing w:line="360" w:lineRule="auto"/>
              <w:jc w:val="center"/>
              <w:rPr>
                <w:rFonts w:asciiTheme="minorEastAsia" w:hAnsiTheme="minorEastAsia" w:eastAsiaTheme="minorEastAsia" w:cstheme="minorEastAsia"/>
                <w:bCs/>
                <w:szCs w:val="21"/>
              </w:rPr>
            </w:pPr>
          </w:p>
        </w:tc>
        <w:tc>
          <w:tcPr>
            <w:tcW w:w="1843" w:type="dxa"/>
            <w:noWrap/>
            <w:vAlign w:val="center"/>
          </w:tcPr>
          <w:p>
            <w:pPr>
              <w:spacing w:line="360" w:lineRule="auto"/>
              <w:jc w:val="center"/>
              <w:rPr>
                <w:rFonts w:asciiTheme="minorEastAsia" w:hAnsiTheme="minorEastAsia" w:eastAsiaTheme="minorEastAsia" w:cstheme="minorEastAsia"/>
                <w:bCs/>
                <w:szCs w:val="21"/>
              </w:rPr>
            </w:pPr>
          </w:p>
        </w:tc>
        <w:tc>
          <w:tcPr>
            <w:tcW w:w="1559" w:type="dxa"/>
            <w:noWrap/>
            <w:vAlign w:val="center"/>
          </w:tcPr>
          <w:p>
            <w:pPr>
              <w:spacing w:line="360" w:lineRule="auto"/>
              <w:jc w:val="center"/>
              <w:rPr>
                <w:rFonts w:asciiTheme="minorEastAsia" w:hAnsiTheme="minorEastAsia" w:eastAsiaTheme="minorEastAsia" w:cstheme="minorEastAsia"/>
                <w:bCs/>
                <w:szCs w:val="21"/>
              </w:rPr>
            </w:pPr>
          </w:p>
        </w:tc>
        <w:tc>
          <w:tcPr>
            <w:tcW w:w="1559" w:type="dxa"/>
            <w:noWrap/>
            <w:vAlign w:val="center"/>
          </w:tcPr>
          <w:p>
            <w:pPr>
              <w:spacing w:line="360" w:lineRule="auto"/>
              <w:jc w:val="center"/>
              <w:rPr>
                <w:rFonts w:asciiTheme="minorEastAsia" w:hAnsiTheme="minorEastAsia" w:eastAsiaTheme="minorEastAsia" w:cstheme="minorEastAsia"/>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817" w:type="dxa"/>
            <w:noWrap/>
            <w:vAlign w:val="center"/>
          </w:tcPr>
          <w:p>
            <w:pPr>
              <w:spacing w:line="360" w:lineRule="auto"/>
              <w:jc w:val="center"/>
              <w:rPr>
                <w:rFonts w:asciiTheme="minorEastAsia" w:hAnsiTheme="minorEastAsia" w:eastAsiaTheme="minorEastAsia" w:cstheme="minorEastAsia"/>
                <w:bCs/>
                <w:szCs w:val="21"/>
              </w:rPr>
            </w:pPr>
          </w:p>
        </w:tc>
        <w:tc>
          <w:tcPr>
            <w:tcW w:w="1701" w:type="dxa"/>
            <w:noWrap/>
          </w:tcPr>
          <w:p>
            <w:pPr>
              <w:spacing w:line="360" w:lineRule="auto"/>
              <w:jc w:val="center"/>
              <w:rPr>
                <w:rFonts w:asciiTheme="minorEastAsia" w:hAnsiTheme="minorEastAsia" w:eastAsiaTheme="minorEastAsia" w:cstheme="minorEastAsia"/>
                <w:bCs/>
                <w:szCs w:val="21"/>
              </w:rPr>
            </w:pPr>
          </w:p>
        </w:tc>
        <w:tc>
          <w:tcPr>
            <w:tcW w:w="1843" w:type="dxa"/>
            <w:noWrap/>
            <w:vAlign w:val="center"/>
          </w:tcPr>
          <w:p>
            <w:pPr>
              <w:spacing w:line="360" w:lineRule="auto"/>
              <w:jc w:val="center"/>
              <w:rPr>
                <w:rFonts w:asciiTheme="minorEastAsia" w:hAnsiTheme="minorEastAsia" w:eastAsiaTheme="minorEastAsia" w:cstheme="minorEastAsia"/>
                <w:bCs/>
                <w:szCs w:val="21"/>
              </w:rPr>
            </w:pPr>
          </w:p>
        </w:tc>
        <w:tc>
          <w:tcPr>
            <w:tcW w:w="1843" w:type="dxa"/>
            <w:noWrap/>
            <w:vAlign w:val="center"/>
          </w:tcPr>
          <w:p>
            <w:pPr>
              <w:spacing w:line="360" w:lineRule="auto"/>
              <w:jc w:val="center"/>
              <w:rPr>
                <w:rFonts w:asciiTheme="minorEastAsia" w:hAnsiTheme="minorEastAsia" w:eastAsiaTheme="minorEastAsia" w:cstheme="minorEastAsia"/>
                <w:bCs/>
                <w:szCs w:val="21"/>
              </w:rPr>
            </w:pPr>
          </w:p>
        </w:tc>
        <w:tc>
          <w:tcPr>
            <w:tcW w:w="1559" w:type="dxa"/>
            <w:noWrap/>
            <w:vAlign w:val="center"/>
          </w:tcPr>
          <w:p>
            <w:pPr>
              <w:spacing w:line="360" w:lineRule="auto"/>
              <w:jc w:val="center"/>
              <w:rPr>
                <w:rFonts w:asciiTheme="minorEastAsia" w:hAnsiTheme="minorEastAsia" w:eastAsiaTheme="minorEastAsia" w:cstheme="minorEastAsia"/>
                <w:bCs/>
                <w:szCs w:val="21"/>
              </w:rPr>
            </w:pPr>
          </w:p>
        </w:tc>
        <w:tc>
          <w:tcPr>
            <w:tcW w:w="1559" w:type="dxa"/>
            <w:noWrap/>
            <w:vAlign w:val="center"/>
          </w:tcPr>
          <w:p>
            <w:pPr>
              <w:spacing w:line="360" w:lineRule="auto"/>
              <w:jc w:val="center"/>
              <w:rPr>
                <w:rFonts w:asciiTheme="minorEastAsia" w:hAnsiTheme="minorEastAsia" w:eastAsiaTheme="minorEastAsia" w:cstheme="minorEastAsia"/>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817" w:type="dxa"/>
            <w:noWrap/>
            <w:vAlign w:val="center"/>
          </w:tcPr>
          <w:p>
            <w:pPr>
              <w:spacing w:line="360" w:lineRule="auto"/>
              <w:jc w:val="center"/>
              <w:rPr>
                <w:rFonts w:asciiTheme="minorEastAsia" w:hAnsiTheme="minorEastAsia" w:eastAsiaTheme="minorEastAsia" w:cstheme="minorEastAsia"/>
                <w:bCs/>
                <w:szCs w:val="21"/>
              </w:rPr>
            </w:pPr>
          </w:p>
        </w:tc>
        <w:tc>
          <w:tcPr>
            <w:tcW w:w="1701" w:type="dxa"/>
            <w:noWrap/>
          </w:tcPr>
          <w:p>
            <w:pPr>
              <w:spacing w:line="360" w:lineRule="auto"/>
              <w:jc w:val="center"/>
              <w:rPr>
                <w:rFonts w:asciiTheme="minorEastAsia" w:hAnsiTheme="minorEastAsia" w:eastAsiaTheme="minorEastAsia" w:cstheme="minorEastAsia"/>
                <w:bCs/>
                <w:szCs w:val="21"/>
              </w:rPr>
            </w:pPr>
          </w:p>
        </w:tc>
        <w:tc>
          <w:tcPr>
            <w:tcW w:w="1843" w:type="dxa"/>
            <w:noWrap/>
            <w:vAlign w:val="center"/>
          </w:tcPr>
          <w:p>
            <w:pPr>
              <w:spacing w:line="360" w:lineRule="auto"/>
              <w:jc w:val="center"/>
              <w:rPr>
                <w:rFonts w:asciiTheme="minorEastAsia" w:hAnsiTheme="minorEastAsia" w:eastAsiaTheme="minorEastAsia" w:cstheme="minorEastAsia"/>
                <w:bCs/>
                <w:szCs w:val="21"/>
              </w:rPr>
            </w:pPr>
          </w:p>
        </w:tc>
        <w:tc>
          <w:tcPr>
            <w:tcW w:w="1843" w:type="dxa"/>
            <w:noWrap/>
            <w:vAlign w:val="center"/>
          </w:tcPr>
          <w:p>
            <w:pPr>
              <w:spacing w:line="360" w:lineRule="auto"/>
              <w:jc w:val="center"/>
              <w:rPr>
                <w:rFonts w:asciiTheme="minorEastAsia" w:hAnsiTheme="minorEastAsia" w:eastAsiaTheme="minorEastAsia" w:cstheme="minorEastAsia"/>
                <w:bCs/>
                <w:szCs w:val="21"/>
              </w:rPr>
            </w:pPr>
          </w:p>
        </w:tc>
        <w:tc>
          <w:tcPr>
            <w:tcW w:w="1559" w:type="dxa"/>
            <w:noWrap/>
            <w:vAlign w:val="center"/>
          </w:tcPr>
          <w:p>
            <w:pPr>
              <w:spacing w:line="360" w:lineRule="auto"/>
              <w:jc w:val="center"/>
              <w:rPr>
                <w:rFonts w:asciiTheme="minorEastAsia" w:hAnsiTheme="minorEastAsia" w:eastAsiaTheme="minorEastAsia" w:cstheme="minorEastAsia"/>
                <w:bCs/>
                <w:szCs w:val="21"/>
              </w:rPr>
            </w:pPr>
          </w:p>
        </w:tc>
        <w:tc>
          <w:tcPr>
            <w:tcW w:w="1559" w:type="dxa"/>
            <w:noWrap/>
            <w:vAlign w:val="center"/>
          </w:tcPr>
          <w:p>
            <w:pPr>
              <w:spacing w:line="360" w:lineRule="auto"/>
              <w:jc w:val="center"/>
              <w:rPr>
                <w:rFonts w:asciiTheme="minorEastAsia" w:hAnsiTheme="minorEastAsia" w:eastAsiaTheme="minorEastAsia" w:cstheme="minorEastAsia"/>
                <w:bCs/>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说明：投标人应对照招标文件货物规格要求，反映所提供产品和服务对招标文件的货物规格要求的全部正/负/无偏离（优于招标文件要求的为正偏离、低于招标文件要求得为负偏离，与采购要求相符的为无偏离）情况，投标人必须提供所投货物或者服务的具体参数值，并在技术文件中提供详细资料，否则不得分。</w:t>
      </w:r>
    </w:p>
    <w:p>
      <w:pPr>
        <w:spacing w:line="360" w:lineRule="auto"/>
        <w:ind w:firstLine="105" w:firstLineChars="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注：此表格若不够用，可根据实际自行扩展表格。</w:t>
      </w:r>
    </w:p>
    <w:p>
      <w:pPr>
        <w:wordWrap w:val="0"/>
        <w:autoSpaceDE w:val="0"/>
        <w:autoSpaceDN w:val="0"/>
        <w:adjustRightInd w:val="0"/>
        <w:spacing w:line="480" w:lineRule="auto"/>
        <w:ind w:right="1080" w:firstLine="420" w:firstLineChars="200"/>
        <w:jc w:val="center"/>
        <w:rPr>
          <w:rFonts w:asciiTheme="minorEastAsia" w:hAnsiTheme="minorEastAsia" w:eastAsiaTheme="minorEastAsia" w:cstheme="minorEastAsia"/>
          <w:bCs/>
          <w:szCs w:val="21"/>
          <w:lang w:val="zh-CN"/>
        </w:rPr>
      </w:pPr>
    </w:p>
    <w:p>
      <w:pPr>
        <w:wordWrap w:val="0"/>
        <w:autoSpaceDE w:val="0"/>
        <w:autoSpaceDN w:val="0"/>
        <w:adjustRightInd w:val="0"/>
        <w:spacing w:line="480" w:lineRule="auto"/>
        <w:ind w:right="1080" w:firstLine="420" w:firstLineChars="20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lang w:val="zh-CN"/>
        </w:rPr>
        <w:t xml:space="preserve">                      投标人（盖单位电子签章）:</w:t>
      </w:r>
    </w:p>
    <w:p>
      <w:pPr>
        <w:wordWrap w:val="0"/>
        <w:autoSpaceDE w:val="0"/>
        <w:autoSpaceDN w:val="0"/>
        <w:adjustRightInd w:val="0"/>
        <w:spacing w:line="360" w:lineRule="auto"/>
        <w:ind w:right="960" w:firstLine="2520" w:firstLineChars="1200"/>
        <w:rPr>
          <w:rFonts w:asciiTheme="minorEastAsia" w:hAnsiTheme="minorEastAsia" w:eastAsiaTheme="minorEastAsia" w:cstheme="minorEastAsia"/>
          <w:bCs/>
          <w:szCs w:val="21"/>
          <w:u w:val="single"/>
          <w:lang w:val="zh-CN"/>
        </w:rPr>
      </w:pPr>
      <w:r>
        <w:rPr>
          <w:rFonts w:hint="eastAsia" w:asciiTheme="minorEastAsia" w:hAnsiTheme="minorEastAsia" w:eastAsiaTheme="minorEastAsia" w:cstheme="minorEastAsia"/>
          <w:kern w:val="0"/>
          <w:szCs w:val="21"/>
        </w:rPr>
        <w:t>法定代表人（盖个人电子签章）：</w:t>
      </w:r>
    </w:p>
    <w:p>
      <w:pPr>
        <w:wordWrap w:val="0"/>
        <w:spacing w:line="480" w:lineRule="auto"/>
        <w:ind w:right="113" w:firstLine="2712" w:firstLineChars="1200"/>
        <w:rPr>
          <w:rFonts w:asciiTheme="minorEastAsia" w:hAnsiTheme="minorEastAsia" w:eastAsiaTheme="minorEastAsia" w:cstheme="minorEastAsia"/>
          <w:bCs/>
          <w:szCs w:val="21"/>
          <w:lang w:val="zh-CN"/>
        </w:rPr>
      </w:pPr>
      <w:r>
        <w:rPr>
          <w:rFonts w:hint="eastAsia" w:asciiTheme="minorEastAsia" w:hAnsiTheme="minorEastAsia" w:eastAsiaTheme="minorEastAsia" w:cstheme="minorEastAsia"/>
          <w:spacing w:val="8"/>
          <w:szCs w:val="21"/>
        </w:rPr>
        <w:t>日    期：</w:t>
      </w:r>
      <w:r>
        <w:rPr>
          <w:rFonts w:hint="eastAsia" w:asciiTheme="minorEastAsia" w:hAnsiTheme="minorEastAsia" w:eastAsiaTheme="minorEastAsia" w:cstheme="minorEastAsia"/>
          <w:szCs w:val="21"/>
        </w:rPr>
        <w:t>年月日</w:t>
      </w:r>
    </w:p>
    <w:p>
      <w:pPr>
        <w:spacing w:line="240" w:lineRule="atLeast"/>
        <w:ind w:left="3660"/>
        <w:rPr>
          <w:rFonts w:asciiTheme="minorEastAsia" w:hAnsiTheme="minorEastAsia" w:eastAsiaTheme="minorEastAsia" w:cstheme="minorEastAsia"/>
          <w:b/>
          <w:sz w:val="28"/>
        </w:rPr>
      </w:pPr>
    </w:p>
    <w:p>
      <w:pPr>
        <w:pStyle w:val="10"/>
        <w:rPr>
          <w:rFonts w:asciiTheme="minorEastAsia" w:hAnsiTheme="minorEastAsia" w:eastAsiaTheme="minorEastAsia" w:cstheme="minorEastAsia"/>
        </w:rPr>
      </w:pPr>
    </w:p>
    <w:p>
      <w:pPr>
        <w:spacing w:line="240" w:lineRule="atLeast"/>
        <w:ind w:left="3660"/>
        <w:rPr>
          <w:rFonts w:asciiTheme="minorEastAsia" w:hAnsiTheme="minorEastAsia" w:eastAsiaTheme="minorEastAsia" w:cstheme="minorEastAsia"/>
          <w:b/>
          <w:sz w:val="28"/>
        </w:rPr>
      </w:pPr>
    </w:p>
    <w:p>
      <w:pPr>
        <w:spacing w:line="240" w:lineRule="atLeast"/>
        <w:ind w:left="3660"/>
        <w:rPr>
          <w:rFonts w:asciiTheme="minorEastAsia" w:hAnsiTheme="minorEastAsia" w:eastAsiaTheme="minorEastAsia" w:cstheme="minorEastAsia"/>
          <w:b/>
          <w:sz w:val="28"/>
        </w:rPr>
      </w:pPr>
      <w:r>
        <w:rPr>
          <w:rFonts w:hint="eastAsia" w:asciiTheme="minorEastAsia" w:hAnsiTheme="minorEastAsia" w:eastAsiaTheme="minorEastAsia" w:cstheme="minorEastAsia"/>
          <w:b/>
          <w:sz w:val="28"/>
        </w:rPr>
        <w:t>（二）商务偏离表</w:t>
      </w:r>
    </w:p>
    <w:p>
      <w:pPr>
        <w:spacing w:line="200" w:lineRule="exact"/>
        <w:rPr>
          <w:rFonts w:asciiTheme="minorEastAsia" w:hAnsiTheme="minorEastAsia" w:eastAsiaTheme="minorEastAsia" w:cstheme="minorEastAsia"/>
        </w:rPr>
      </w:pPr>
    </w:p>
    <w:p>
      <w:pPr>
        <w:spacing w:line="218" w:lineRule="exact"/>
        <w:rPr>
          <w:rFonts w:asciiTheme="minorEastAsia" w:hAnsiTheme="minorEastAsia" w:eastAsiaTheme="minorEastAsia" w:cstheme="minorEastAsia"/>
        </w:rPr>
      </w:pPr>
    </w:p>
    <w:tbl>
      <w:tblPr>
        <w:tblStyle w:val="29"/>
        <w:tblW w:w="0" w:type="auto"/>
        <w:tblInd w:w="-10" w:type="dxa"/>
        <w:tblLayout w:type="fixed"/>
        <w:tblCellMar>
          <w:top w:w="0" w:type="dxa"/>
          <w:left w:w="0" w:type="dxa"/>
          <w:bottom w:w="0" w:type="dxa"/>
          <w:right w:w="0" w:type="dxa"/>
        </w:tblCellMar>
      </w:tblPr>
      <w:tblGrid>
        <w:gridCol w:w="1040"/>
        <w:gridCol w:w="2620"/>
        <w:gridCol w:w="3040"/>
        <w:gridCol w:w="2740"/>
      </w:tblGrid>
      <w:tr>
        <w:tblPrEx>
          <w:tblCellMar>
            <w:top w:w="0" w:type="dxa"/>
            <w:left w:w="0" w:type="dxa"/>
            <w:bottom w:w="0" w:type="dxa"/>
            <w:right w:w="0" w:type="dxa"/>
          </w:tblCellMar>
        </w:tblPrEx>
        <w:trPr>
          <w:trHeight w:val="824" w:hRule="atLeast"/>
        </w:trPr>
        <w:tc>
          <w:tcPr>
            <w:tcW w:w="1040" w:type="dxa"/>
            <w:tcBorders>
              <w:top w:val="single" w:color="auto" w:sz="8" w:space="0"/>
              <w:left w:val="single" w:color="auto" w:sz="8" w:space="0"/>
              <w:right w:val="single" w:color="auto" w:sz="8" w:space="0"/>
            </w:tcBorders>
            <w:noWrap/>
            <w:vAlign w:val="bottom"/>
          </w:tcPr>
          <w:p>
            <w:pPr>
              <w:spacing w:line="239" w:lineRule="exact"/>
              <w:ind w:left="24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2620" w:type="dxa"/>
            <w:tcBorders>
              <w:top w:val="single" w:color="auto" w:sz="8" w:space="0"/>
              <w:right w:val="single" w:color="auto" w:sz="8" w:space="0"/>
            </w:tcBorders>
            <w:noWrap/>
            <w:vAlign w:val="bottom"/>
          </w:tcPr>
          <w:p>
            <w:pPr>
              <w:spacing w:line="239" w:lineRule="exact"/>
              <w:ind w:left="56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招标文件相应内容</w:t>
            </w:r>
          </w:p>
        </w:tc>
        <w:tc>
          <w:tcPr>
            <w:tcW w:w="3040" w:type="dxa"/>
            <w:tcBorders>
              <w:top w:val="single" w:color="auto" w:sz="8" w:space="0"/>
              <w:right w:val="single" w:color="auto" w:sz="8" w:space="0"/>
            </w:tcBorders>
            <w:noWrap/>
            <w:vAlign w:val="bottom"/>
          </w:tcPr>
          <w:p>
            <w:pPr>
              <w:spacing w:line="239" w:lineRule="exact"/>
              <w:ind w:left="66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投标文件响应内容</w:t>
            </w:r>
          </w:p>
        </w:tc>
        <w:tc>
          <w:tcPr>
            <w:tcW w:w="2740" w:type="dxa"/>
            <w:tcBorders>
              <w:top w:val="single" w:color="auto" w:sz="8" w:space="0"/>
              <w:right w:val="single" w:color="auto" w:sz="8" w:space="0"/>
            </w:tcBorders>
            <w:noWrap/>
            <w:vAlign w:val="bottom"/>
          </w:tcPr>
          <w:p>
            <w:pPr>
              <w:spacing w:line="239" w:lineRule="exact"/>
              <w:ind w:left="9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偏离说明</w:t>
            </w:r>
          </w:p>
        </w:tc>
      </w:tr>
      <w:tr>
        <w:tblPrEx>
          <w:tblCellMar>
            <w:top w:w="0" w:type="dxa"/>
            <w:left w:w="0" w:type="dxa"/>
            <w:bottom w:w="0" w:type="dxa"/>
            <w:right w:w="0" w:type="dxa"/>
          </w:tblCellMar>
        </w:tblPrEx>
        <w:trPr>
          <w:trHeight w:val="213" w:hRule="atLeast"/>
        </w:trPr>
        <w:tc>
          <w:tcPr>
            <w:tcW w:w="1040" w:type="dxa"/>
            <w:tcBorders>
              <w:left w:val="single" w:color="auto" w:sz="8" w:space="0"/>
              <w:bottom w:val="single" w:color="auto" w:sz="8" w:space="0"/>
              <w:right w:val="single" w:color="auto" w:sz="8" w:space="0"/>
            </w:tcBorders>
            <w:noWrap/>
            <w:vAlign w:val="bottom"/>
          </w:tcPr>
          <w:p>
            <w:pPr>
              <w:spacing w:line="240" w:lineRule="atLeast"/>
              <w:rPr>
                <w:rFonts w:asciiTheme="minorEastAsia" w:hAnsiTheme="minorEastAsia" w:eastAsiaTheme="minorEastAsia" w:cstheme="minorEastAsia"/>
                <w:sz w:val="24"/>
              </w:rPr>
            </w:pPr>
          </w:p>
        </w:tc>
        <w:tc>
          <w:tcPr>
            <w:tcW w:w="2620" w:type="dxa"/>
            <w:tcBorders>
              <w:bottom w:val="single" w:color="auto" w:sz="8" w:space="0"/>
              <w:right w:val="single" w:color="auto" w:sz="8" w:space="0"/>
            </w:tcBorders>
            <w:noWrap/>
            <w:vAlign w:val="bottom"/>
          </w:tcPr>
          <w:p>
            <w:pPr>
              <w:spacing w:line="240" w:lineRule="atLeast"/>
              <w:rPr>
                <w:rFonts w:asciiTheme="minorEastAsia" w:hAnsiTheme="minorEastAsia" w:eastAsiaTheme="minorEastAsia" w:cstheme="minorEastAsia"/>
                <w:sz w:val="24"/>
              </w:rPr>
            </w:pPr>
          </w:p>
        </w:tc>
        <w:tc>
          <w:tcPr>
            <w:tcW w:w="3040" w:type="dxa"/>
            <w:tcBorders>
              <w:bottom w:val="single" w:color="auto" w:sz="8" w:space="0"/>
              <w:right w:val="single" w:color="auto" w:sz="8" w:space="0"/>
            </w:tcBorders>
            <w:noWrap/>
            <w:vAlign w:val="bottom"/>
          </w:tcPr>
          <w:p>
            <w:pPr>
              <w:spacing w:line="240" w:lineRule="atLeast"/>
              <w:rPr>
                <w:rFonts w:asciiTheme="minorEastAsia" w:hAnsiTheme="minorEastAsia" w:eastAsiaTheme="minorEastAsia" w:cstheme="minorEastAsia"/>
                <w:sz w:val="24"/>
              </w:rPr>
            </w:pPr>
          </w:p>
        </w:tc>
        <w:tc>
          <w:tcPr>
            <w:tcW w:w="2740" w:type="dxa"/>
            <w:tcBorders>
              <w:bottom w:val="single" w:color="auto" w:sz="8" w:space="0"/>
              <w:right w:val="single" w:color="auto" w:sz="8" w:space="0"/>
            </w:tcBorders>
            <w:noWrap/>
            <w:vAlign w:val="bottom"/>
          </w:tcPr>
          <w:p>
            <w:pPr>
              <w:spacing w:line="240" w:lineRule="atLeast"/>
              <w:rPr>
                <w:rFonts w:asciiTheme="minorEastAsia" w:hAnsiTheme="minorEastAsia" w:eastAsiaTheme="minorEastAsia" w:cstheme="minorEastAsia"/>
                <w:sz w:val="24"/>
              </w:rPr>
            </w:pPr>
          </w:p>
        </w:tc>
      </w:tr>
      <w:tr>
        <w:tblPrEx>
          <w:tblCellMar>
            <w:top w:w="0" w:type="dxa"/>
            <w:left w:w="0" w:type="dxa"/>
            <w:bottom w:w="0" w:type="dxa"/>
            <w:right w:w="0" w:type="dxa"/>
          </w:tblCellMar>
        </w:tblPrEx>
        <w:trPr>
          <w:trHeight w:val="717" w:hRule="atLeast"/>
        </w:trPr>
        <w:tc>
          <w:tcPr>
            <w:tcW w:w="1040" w:type="dxa"/>
            <w:tcBorders>
              <w:left w:val="single" w:color="auto" w:sz="8" w:space="0"/>
              <w:bottom w:val="single" w:color="auto" w:sz="8" w:space="0"/>
              <w:right w:val="single" w:color="auto" w:sz="8" w:space="0"/>
            </w:tcBorders>
            <w:noWrap/>
            <w:vAlign w:val="bottom"/>
          </w:tcPr>
          <w:p>
            <w:pPr>
              <w:spacing w:line="240" w:lineRule="atLeast"/>
              <w:rPr>
                <w:rFonts w:asciiTheme="minorEastAsia" w:hAnsiTheme="minorEastAsia" w:eastAsiaTheme="minorEastAsia" w:cstheme="minorEastAsia"/>
                <w:sz w:val="24"/>
              </w:rPr>
            </w:pPr>
          </w:p>
        </w:tc>
        <w:tc>
          <w:tcPr>
            <w:tcW w:w="2620" w:type="dxa"/>
            <w:tcBorders>
              <w:bottom w:val="single" w:color="auto" w:sz="8" w:space="0"/>
              <w:right w:val="single" w:color="auto" w:sz="8" w:space="0"/>
            </w:tcBorders>
            <w:noWrap/>
            <w:vAlign w:val="bottom"/>
          </w:tcPr>
          <w:p>
            <w:pPr>
              <w:spacing w:line="240" w:lineRule="atLeast"/>
              <w:rPr>
                <w:rFonts w:asciiTheme="minorEastAsia" w:hAnsiTheme="minorEastAsia" w:eastAsiaTheme="minorEastAsia" w:cstheme="minorEastAsia"/>
                <w:sz w:val="24"/>
              </w:rPr>
            </w:pPr>
          </w:p>
        </w:tc>
        <w:tc>
          <w:tcPr>
            <w:tcW w:w="3040" w:type="dxa"/>
            <w:tcBorders>
              <w:bottom w:val="single" w:color="auto" w:sz="8" w:space="0"/>
              <w:right w:val="single" w:color="auto" w:sz="8" w:space="0"/>
            </w:tcBorders>
            <w:noWrap/>
            <w:vAlign w:val="bottom"/>
          </w:tcPr>
          <w:p>
            <w:pPr>
              <w:spacing w:line="240" w:lineRule="atLeast"/>
              <w:rPr>
                <w:rFonts w:asciiTheme="minorEastAsia" w:hAnsiTheme="minorEastAsia" w:eastAsiaTheme="minorEastAsia" w:cstheme="minorEastAsia"/>
                <w:sz w:val="24"/>
              </w:rPr>
            </w:pPr>
          </w:p>
        </w:tc>
        <w:tc>
          <w:tcPr>
            <w:tcW w:w="2740" w:type="dxa"/>
            <w:tcBorders>
              <w:bottom w:val="single" w:color="auto" w:sz="8" w:space="0"/>
              <w:right w:val="single" w:color="auto" w:sz="8" w:space="0"/>
            </w:tcBorders>
            <w:noWrap/>
            <w:vAlign w:val="bottom"/>
          </w:tcPr>
          <w:p>
            <w:pPr>
              <w:spacing w:line="240" w:lineRule="atLeast"/>
              <w:rPr>
                <w:rFonts w:asciiTheme="minorEastAsia" w:hAnsiTheme="minorEastAsia" w:eastAsiaTheme="minorEastAsia" w:cstheme="minorEastAsia"/>
                <w:sz w:val="24"/>
              </w:rPr>
            </w:pPr>
          </w:p>
        </w:tc>
      </w:tr>
      <w:tr>
        <w:tblPrEx>
          <w:tblCellMar>
            <w:top w:w="0" w:type="dxa"/>
            <w:left w:w="0" w:type="dxa"/>
            <w:bottom w:w="0" w:type="dxa"/>
            <w:right w:w="0" w:type="dxa"/>
          </w:tblCellMar>
        </w:tblPrEx>
        <w:trPr>
          <w:trHeight w:val="717" w:hRule="atLeast"/>
        </w:trPr>
        <w:tc>
          <w:tcPr>
            <w:tcW w:w="1040" w:type="dxa"/>
            <w:tcBorders>
              <w:left w:val="single" w:color="auto" w:sz="8" w:space="0"/>
              <w:bottom w:val="single" w:color="auto" w:sz="8" w:space="0"/>
              <w:right w:val="single" w:color="auto" w:sz="8" w:space="0"/>
            </w:tcBorders>
            <w:noWrap/>
            <w:vAlign w:val="bottom"/>
          </w:tcPr>
          <w:p>
            <w:pPr>
              <w:spacing w:line="240" w:lineRule="atLeast"/>
              <w:rPr>
                <w:rFonts w:asciiTheme="minorEastAsia" w:hAnsiTheme="minorEastAsia" w:eastAsiaTheme="minorEastAsia" w:cstheme="minorEastAsia"/>
                <w:sz w:val="24"/>
              </w:rPr>
            </w:pPr>
          </w:p>
        </w:tc>
        <w:tc>
          <w:tcPr>
            <w:tcW w:w="2620" w:type="dxa"/>
            <w:tcBorders>
              <w:bottom w:val="single" w:color="auto" w:sz="8" w:space="0"/>
              <w:right w:val="single" w:color="auto" w:sz="8" w:space="0"/>
            </w:tcBorders>
            <w:noWrap/>
            <w:vAlign w:val="bottom"/>
          </w:tcPr>
          <w:p>
            <w:pPr>
              <w:spacing w:line="240" w:lineRule="atLeast"/>
              <w:rPr>
                <w:rFonts w:asciiTheme="minorEastAsia" w:hAnsiTheme="minorEastAsia" w:eastAsiaTheme="minorEastAsia" w:cstheme="minorEastAsia"/>
                <w:sz w:val="24"/>
              </w:rPr>
            </w:pPr>
          </w:p>
        </w:tc>
        <w:tc>
          <w:tcPr>
            <w:tcW w:w="3040" w:type="dxa"/>
            <w:tcBorders>
              <w:bottom w:val="single" w:color="auto" w:sz="8" w:space="0"/>
              <w:right w:val="single" w:color="auto" w:sz="8" w:space="0"/>
            </w:tcBorders>
            <w:noWrap/>
            <w:vAlign w:val="bottom"/>
          </w:tcPr>
          <w:p>
            <w:pPr>
              <w:spacing w:line="240" w:lineRule="atLeast"/>
              <w:rPr>
                <w:rFonts w:asciiTheme="minorEastAsia" w:hAnsiTheme="minorEastAsia" w:eastAsiaTheme="minorEastAsia" w:cstheme="minorEastAsia"/>
                <w:sz w:val="24"/>
              </w:rPr>
            </w:pPr>
          </w:p>
        </w:tc>
        <w:tc>
          <w:tcPr>
            <w:tcW w:w="2740" w:type="dxa"/>
            <w:tcBorders>
              <w:bottom w:val="single" w:color="auto" w:sz="8" w:space="0"/>
              <w:right w:val="single" w:color="auto" w:sz="8" w:space="0"/>
            </w:tcBorders>
            <w:noWrap/>
            <w:vAlign w:val="bottom"/>
          </w:tcPr>
          <w:p>
            <w:pPr>
              <w:spacing w:line="240" w:lineRule="atLeast"/>
              <w:rPr>
                <w:rFonts w:asciiTheme="minorEastAsia" w:hAnsiTheme="minorEastAsia" w:eastAsiaTheme="minorEastAsia" w:cstheme="minorEastAsia"/>
                <w:sz w:val="24"/>
              </w:rPr>
            </w:pPr>
          </w:p>
        </w:tc>
      </w:tr>
      <w:tr>
        <w:tblPrEx>
          <w:tblCellMar>
            <w:top w:w="0" w:type="dxa"/>
            <w:left w:w="0" w:type="dxa"/>
            <w:bottom w:w="0" w:type="dxa"/>
            <w:right w:w="0" w:type="dxa"/>
          </w:tblCellMar>
        </w:tblPrEx>
        <w:trPr>
          <w:trHeight w:val="717" w:hRule="atLeast"/>
        </w:trPr>
        <w:tc>
          <w:tcPr>
            <w:tcW w:w="1040" w:type="dxa"/>
            <w:tcBorders>
              <w:left w:val="single" w:color="auto" w:sz="8" w:space="0"/>
              <w:bottom w:val="single" w:color="auto" w:sz="8" w:space="0"/>
              <w:right w:val="single" w:color="auto" w:sz="8" w:space="0"/>
            </w:tcBorders>
            <w:noWrap/>
            <w:vAlign w:val="bottom"/>
          </w:tcPr>
          <w:p>
            <w:pPr>
              <w:spacing w:line="240" w:lineRule="atLeast"/>
              <w:rPr>
                <w:rFonts w:asciiTheme="minorEastAsia" w:hAnsiTheme="minorEastAsia" w:eastAsiaTheme="minorEastAsia" w:cstheme="minorEastAsia"/>
                <w:sz w:val="24"/>
              </w:rPr>
            </w:pPr>
          </w:p>
        </w:tc>
        <w:tc>
          <w:tcPr>
            <w:tcW w:w="2620" w:type="dxa"/>
            <w:tcBorders>
              <w:bottom w:val="single" w:color="auto" w:sz="8" w:space="0"/>
              <w:right w:val="single" w:color="auto" w:sz="8" w:space="0"/>
            </w:tcBorders>
            <w:noWrap/>
            <w:vAlign w:val="bottom"/>
          </w:tcPr>
          <w:p>
            <w:pPr>
              <w:spacing w:line="240" w:lineRule="atLeast"/>
              <w:rPr>
                <w:rFonts w:asciiTheme="minorEastAsia" w:hAnsiTheme="minorEastAsia" w:eastAsiaTheme="minorEastAsia" w:cstheme="minorEastAsia"/>
                <w:sz w:val="24"/>
              </w:rPr>
            </w:pPr>
          </w:p>
        </w:tc>
        <w:tc>
          <w:tcPr>
            <w:tcW w:w="3040" w:type="dxa"/>
            <w:tcBorders>
              <w:bottom w:val="single" w:color="auto" w:sz="8" w:space="0"/>
              <w:right w:val="single" w:color="auto" w:sz="8" w:space="0"/>
            </w:tcBorders>
            <w:noWrap/>
            <w:vAlign w:val="bottom"/>
          </w:tcPr>
          <w:p>
            <w:pPr>
              <w:spacing w:line="240" w:lineRule="atLeast"/>
              <w:rPr>
                <w:rFonts w:asciiTheme="minorEastAsia" w:hAnsiTheme="minorEastAsia" w:eastAsiaTheme="minorEastAsia" w:cstheme="minorEastAsia"/>
                <w:sz w:val="24"/>
              </w:rPr>
            </w:pPr>
          </w:p>
        </w:tc>
        <w:tc>
          <w:tcPr>
            <w:tcW w:w="2740" w:type="dxa"/>
            <w:tcBorders>
              <w:bottom w:val="single" w:color="auto" w:sz="8" w:space="0"/>
              <w:right w:val="single" w:color="auto" w:sz="8" w:space="0"/>
            </w:tcBorders>
            <w:noWrap/>
            <w:vAlign w:val="bottom"/>
          </w:tcPr>
          <w:p>
            <w:pPr>
              <w:spacing w:line="240" w:lineRule="atLeast"/>
              <w:rPr>
                <w:rFonts w:asciiTheme="minorEastAsia" w:hAnsiTheme="minorEastAsia" w:eastAsiaTheme="minorEastAsia" w:cstheme="minorEastAsia"/>
                <w:sz w:val="24"/>
              </w:rPr>
            </w:pPr>
          </w:p>
        </w:tc>
      </w:tr>
      <w:tr>
        <w:tblPrEx>
          <w:tblCellMar>
            <w:top w:w="0" w:type="dxa"/>
            <w:left w:w="0" w:type="dxa"/>
            <w:bottom w:w="0" w:type="dxa"/>
            <w:right w:w="0" w:type="dxa"/>
          </w:tblCellMar>
        </w:tblPrEx>
        <w:trPr>
          <w:trHeight w:val="717" w:hRule="atLeast"/>
        </w:trPr>
        <w:tc>
          <w:tcPr>
            <w:tcW w:w="1040" w:type="dxa"/>
            <w:tcBorders>
              <w:left w:val="single" w:color="auto" w:sz="8" w:space="0"/>
              <w:bottom w:val="single" w:color="auto" w:sz="8" w:space="0"/>
              <w:right w:val="single" w:color="auto" w:sz="8" w:space="0"/>
            </w:tcBorders>
            <w:noWrap/>
            <w:vAlign w:val="bottom"/>
          </w:tcPr>
          <w:p>
            <w:pPr>
              <w:spacing w:line="240" w:lineRule="atLeast"/>
              <w:rPr>
                <w:rFonts w:asciiTheme="minorEastAsia" w:hAnsiTheme="minorEastAsia" w:eastAsiaTheme="minorEastAsia" w:cstheme="minorEastAsia"/>
                <w:sz w:val="24"/>
              </w:rPr>
            </w:pPr>
          </w:p>
        </w:tc>
        <w:tc>
          <w:tcPr>
            <w:tcW w:w="2620" w:type="dxa"/>
            <w:tcBorders>
              <w:bottom w:val="single" w:color="auto" w:sz="8" w:space="0"/>
              <w:right w:val="single" w:color="auto" w:sz="8" w:space="0"/>
            </w:tcBorders>
            <w:noWrap/>
            <w:vAlign w:val="bottom"/>
          </w:tcPr>
          <w:p>
            <w:pPr>
              <w:spacing w:line="240" w:lineRule="atLeast"/>
              <w:rPr>
                <w:rFonts w:asciiTheme="minorEastAsia" w:hAnsiTheme="minorEastAsia" w:eastAsiaTheme="minorEastAsia" w:cstheme="minorEastAsia"/>
                <w:sz w:val="24"/>
              </w:rPr>
            </w:pPr>
          </w:p>
        </w:tc>
        <w:tc>
          <w:tcPr>
            <w:tcW w:w="3040" w:type="dxa"/>
            <w:tcBorders>
              <w:bottom w:val="single" w:color="auto" w:sz="8" w:space="0"/>
              <w:right w:val="single" w:color="auto" w:sz="8" w:space="0"/>
            </w:tcBorders>
            <w:noWrap/>
            <w:vAlign w:val="bottom"/>
          </w:tcPr>
          <w:p>
            <w:pPr>
              <w:spacing w:line="240" w:lineRule="atLeast"/>
              <w:rPr>
                <w:rFonts w:asciiTheme="minorEastAsia" w:hAnsiTheme="minorEastAsia" w:eastAsiaTheme="minorEastAsia" w:cstheme="minorEastAsia"/>
                <w:sz w:val="24"/>
              </w:rPr>
            </w:pPr>
          </w:p>
        </w:tc>
        <w:tc>
          <w:tcPr>
            <w:tcW w:w="2740" w:type="dxa"/>
            <w:tcBorders>
              <w:bottom w:val="single" w:color="auto" w:sz="8" w:space="0"/>
              <w:right w:val="single" w:color="auto" w:sz="8" w:space="0"/>
            </w:tcBorders>
            <w:noWrap/>
            <w:vAlign w:val="bottom"/>
          </w:tcPr>
          <w:p>
            <w:pPr>
              <w:spacing w:line="240" w:lineRule="atLeast"/>
              <w:rPr>
                <w:rFonts w:asciiTheme="minorEastAsia" w:hAnsiTheme="minorEastAsia" w:eastAsiaTheme="minorEastAsia" w:cstheme="minorEastAsia"/>
                <w:sz w:val="24"/>
              </w:rPr>
            </w:pPr>
          </w:p>
        </w:tc>
      </w:tr>
    </w:tbl>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Cs/>
          <w:sz w:val="24"/>
        </w:rPr>
        <w:t>说明：投标人应对照招标文件商务条款要求，提出正/负/无偏离（优于招标文件要求的为正偏离、低于招标文件要求得为负偏离、与采购要求相符的为无偏离）情况。在本表中做出偏离说明的项目，投标人必须提供详细资料。</w:t>
      </w:r>
    </w:p>
    <w:p>
      <w:pPr>
        <w:spacing w:line="360" w:lineRule="auto"/>
        <w:ind w:firstLine="120" w:firstLineChars="50"/>
        <w:rPr>
          <w:rFonts w:asciiTheme="minorEastAsia" w:hAnsiTheme="minorEastAsia" w:eastAsiaTheme="minorEastAsia" w:cstheme="minorEastAsia"/>
          <w:bCs/>
          <w:sz w:val="24"/>
          <w:lang w:val="zh-CN"/>
        </w:rPr>
      </w:pPr>
      <w:r>
        <w:rPr>
          <w:rFonts w:hint="eastAsia" w:asciiTheme="minorEastAsia" w:hAnsiTheme="minorEastAsia" w:eastAsiaTheme="minorEastAsia" w:cstheme="minorEastAsia"/>
          <w:sz w:val="24"/>
        </w:rPr>
        <w:t>注：此表格若不够用，可根据实际自行扩展表格。</w:t>
      </w:r>
    </w:p>
    <w:p>
      <w:pPr>
        <w:wordWrap w:val="0"/>
        <w:autoSpaceDE w:val="0"/>
        <w:autoSpaceDN w:val="0"/>
        <w:adjustRightInd w:val="0"/>
        <w:spacing w:line="480" w:lineRule="auto"/>
        <w:ind w:right="1080" w:firstLine="480" w:firstLineChars="200"/>
        <w:jc w:val="center"/>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zh-CN"/>
        </w:rPr>
        <w:t xml:space="preserve">                     投标人（盖单位电子签章）:</w:t>
      </w:r>
    </w:p>
    <w:p>
      <w:pPr>
        <w:wordWrap w:val="0"/>
        <w:autoSpaceDE w:val="0"/>
        <w:autoSpaceDN w:val="0"/>
        <w:adjustRightInd w:val="0"/>
        <w:spacing w:line="480" w:lineRule="auto"/>
        <w:ind w:right="960" w:firstLine="3120" w:firstLineChars="1300"/>
        <w:rPr>
          <w:rFonts w:asciiTheme="minorEastAsia" w:hAnsiTheme="minorEastAsia" w:eastAsiaTheme="minorEastAsia" w:cstheme="minorEastAsia"/>
          <w:bCs/>
          <w:sz w:val="24"/>
          <w:u w:val="single"/>
          <w:lang w:val="zh-CN"/>
        </w:rPr>
      </w:pPr>
      <w:r>
        <w:rPr>
          <w:rFonts w:hint="eastAsia" w:asciiTheme="minorEastAsia" w:hAnsiTheme="minorEastAsia" w:eastAsiaTheme="minorEastAsia" w:cstheme="minorEastAsia"/>
          <w:kern w:val="0"/>
          <w:sz w:val="24"/>
        </w:rPr>
        <w:t>法定代表人</w:t>
      </w:r>
      <w:r>
        <w:rPr>
          <w:rFonts w:hint="eastAsia" w:asciiTheme="minorEastAsia" w:hAnsiTheme="minorEastAsia" w:eastAsiaTheme="minorEastAsia" w:cstheme="minorEastAsia"/>
          <w:bCs/>
          <w:sz w:val="24"/>
          <w:lang w:val="zh-CN"/>
        </w:rPr>
        <w:t>（</w:t>
      </w:r>
      <w:r>
        <w:rPr>
          <w:rFonts w:hint="eastAsia" w:asciiTheme="minorEastAsia" w:hAnsiTheme="minorEastAsia" w:eastAsiaTheme="minorEastAsia" w:cstheme="minorEastAsia"/>
          <w:kern w:val="0"/>
          <w:sz w:val="24"/>
        </w:rPr>
        <w:t>盖个人电子签章</w:t>
      </w:r>
      <w:r>
        <w:rPr>
          <w:rFonts w:hint="eastAsia" w:asciiTheme="minorEastAsia" w:hAnsiTheme="minorEastAsia" w:eastAsiaTheme="minorEastAsia" w:cstheme="minorEastAsia"/>
          <w:bCs/>
          <w:sz w:val="24"/>
          <w:lang w:val="zh-CN"/>
        </w:rPr>
        <w:t>）</w:t>
      </w:r>
      <w:r>
        <w:rPr>
          <w:rFonts w:hint="eastAsia" w:asciiTheme="minorEastAsia" w:hAnsiTheme="minorEastAsia" w:eastAsiaTheme="minorEastAsia" w:cstheme="minorEastAsia"/>
          <w:kern w:val="0"/>
          <w:sz w:val="24"/>
        </w:rPr>
        <w:t>：</w:t>
      </w:r>
    </w:p>
    <w:p>
      <w:pPr>
        <w:wordWrap w:val="0"/>
        <w:spacing w:line="480" w:lineRule="auto"/>
        <w:ind w:right="113" w:firstLine="3072" w:firstLineChars="1200"/>
        <w:rPr>
          <w:rFonts w:asciiTheme="minorEastAsia" w:hAnsiTheme="minorEastAsia" w:eastAsiaTheme="minorEastAsia" w:cstheme="minorEastAsia"/>
          <w:sz w:val="24"/>
        </w:rPr>
      </w:pPr>
      <w:r>
        <w:rPr>
          <w:rFonts w:hint="eastAsia" w:asciiTheme="minorEastAsia" w:hAnsiTheme="minorEastAsia" w:eastAsiaTheme="minorEastAsia" w:cstheme="minorEastAsia"/>
          <w:spacing w:val="8"/>
          <w:sz w:val="24"/>
        </w:rPr>
        <w:t>日    期：</w:t>
      </w:r>
      <w:r>
        <w:rPr>
          <w:rFonts w:hint="eastAsia" w:asciiTheme="minorEastAsia" w:hAnsiTheme="minorEastAsia" w:eastAsiaTheme="minorEastAsia" w:cstheme="minorEastAsia"/>
          <w:sz w:val="24"/>
        </w:rPr>
        <w:t>年月日</w:t>
      </w:r>
    </w:p>
    <w:p>
      <w:pPr>
        <w:pStyle w:val="60"/>
        <w:spacing w:before="26"/>
        <w:ind w:left="121"/>
        <w:jc w:val="left"/>
        <w:rPr>
          <w:rFonts w:asciiTheme="minorEastAsia" w:hAnsiTheme="minorEastAsia" w:eastAsiaTheme="minorEastAsia" w:cstheme="minorEastAsia"/>
          <w:sz w:val="20"/>
        </w:rPr>
      </w:pPr>
    </w:p>
    <w:p>
      <w:pPr>
        <w:pStyle w:val="60"/>
        <w:spacing w:before="26"/>
        <w:ind w:left="121"/>
        <w:jc w:val="left"/>
        <w:rPr>
          <w:rFonts w:asciiTheme="minorEastAsia" w:hAnsiTheme="minorEastAsia" w:eastAsiaTheme="minorEastAsia" w:cstheme="minorEastAsia"/>
          <w:sz w:val="20"/>
        </w:rPr>
      </w:pPr>
    </w:p>
    <w:p>
      <w:pPr>
        <w:pStyle w:val="60"/>
        <w:spacing w:before="26"/>
        <w:ind w:left="121"/>
        <w:jc w:val="left"/>
        <w:outlineLvl w:val="9"/>
        <w:rPr>
          <w:rFonts w:asciiTheme="minorEastAsia" w:hAnsiTheme="minorEastAsia" w:eastAsiaTheme="minorEastAsia" w:cstheme="minorEastAsia"/>
          <w:sz w:val="20"/>
        </w:rPr>
      </w:pPr>
      <w:r>
        <w:rPr>
          <w:rFonts w:hint="eastAsia" w:asciiTheme="minorEastAsia" w:hAnsiTheme="minorEastAsia" w:eastAsiaTheme="minorEastAsia" w:cstheme="minorEastAsia"/>
          <w:sz w:val="20"/>
        </w:rPr>
        <w:t>注明：  1.投标人要如实填写偏离表。</w:t>
      </w:r>
    </w:p>
    <w:p>
      <w:pPr>
        <w:pStyle w:val="60"/>
        <w:numPr>
          <w:ilvl w:val="1"/>
          <w:numId w:val="10"/>
        </w:numPr>
        <w:spacing w:before="154"/>
        <w:jc w:val="left"/>
        <w:outlineLvl w:val="9"/>
        <w:rPr>
          <w:rFonts w:asciiTheme="minorEastAsia" w:hAnsiTheme="minorEastAsia" w:eastAsiaTheme="minorEastAsia" w:cstheme="minorEastAsia"/>
          <w:sz w:val="20"/>
        </w:rPr>
      </w:pPr>
      <w:r>
        <w:rPr>
          <w:rFonts w:hint="eastAsia" w:asciiTheme="minorEastAsia" w:hAnsiTheme="minorEastAsia" w:eastAsiaTheme="minorEastAsia" w:cstheme="minorEastAsia"/>
          <w:sz w:val="20"/>
        </w:rPr>
        <w:t>投标文件中的技术要求、商务要求偏离表应当按照招标文件中的技术要求、商务要求条款逐条对照，逐条描述是否响应招标文件中的技术要求、商务要求，缺少的条款将视为不响应。</w:t>
      </w:r>
    </w:p>
    <w:p>
      <w:pPr>
        <w:pStyle w:val="60"/>
        <w:numPr>
          <w:ilvl w:val="1"/>
          <w:numId w:val="10"/>
        </w:numPr>
        <w:spacing w:before="154"/>
        <w:jc w:val="left"/>
        <w:outlineLvl w:val="9"/>
        <w:rPr>
          <w:rStyle w:val="63"/>
          <w:rFonts w:asciiTheme="minorEastAsia" w:hAnsiTheme="minorEastAsia" w:eastAsiaTheme="minorEastAsia" w:cstheme="minorEastAsia"/>
          <w:b/>
        </w:rPr>
      </w:pPr>
      <w:r>
        <w:rPr>
          <w:rFonts w:hint="eastAsia" w:asciiTheme="minorEastAsia" w:hAnsiTheme="minorEastAsia" w:eastAsiaTheme="minorEastAsia" w:cstheme="minorEastAsia"/>
          <w:sz w:val="20"/>
        </w:rPr>
        <w:t>商务要求指：资格要求、服务期、质保期、招标控制价、付款方式、投标有效期、业绩要求等等实质性内容请各单位逐项对照响应在标书内。</w:t>
      </w:r>
      <w:bookmarkStart w:id="115" w:name="_Toc3293"/>
      <w:bookmarkStart w:id="116" w:name="_Toc22656"/>
      <w:bookmarkStart w:id="117" w:name="_Toc19368"/>
    </w:p>
    <w:p>
      <w:pPr>
        <w:rPr>
          <w:rStyle w:val="63"/>
          <w:rFonts w:asciiTheme="minorEastAsia" w:hAnsiTheme="minorEastAsia" w:eastAsiaTheme="minorEastAsia" w:cstheme="minorEastAsia"/>
        </w:rPr>
      </w:pPr>
      <w:r>
        <w:rPr>
          <w:rStyle w:val="63"/>
          <w:rFonts w:hint="eastAsia" w:asciiTheme="minorEastAsia" w:hAnsiTheme="minorEastAsia" w:eastAsiaTheme="minorEastAsia" w:cstheme="minorEastAsia"/>
        </w:rPr>
        <w:br w:type="page"/>
      </w:r>
    </w:p>
    <w:p>
      <w:pPr>
        <w:pStyle w:val="60"/>
        <w:spacing w:before="154"/>
        <w:ind w:left="0"/>
        <w:jc w:val="left"/>
        <w:outlineLvl w:val="1"/>
        <w:rPr>
          <w:rStyle w:val="63"/>
          <w:rFonts w:asciiTheme="minorEastAsia" w:hAnsiTheme="minorEastAsia" w:eastAsiaTheme="minorEastAsia" w:cstheme="minorEastAsia"/>
          <w:b/>
        </w:rPr>
      </w:pPr>
      <w:r>
        <w:rPr>
          <w:rStyle w:val="63"/>
          <w:rFonts w:hint="eastAsia" w:asciiTheme="minorEastAsia" w:hAnsiTheme="minorEastAsia" w:eastAsiaTheme="minorEastAsia" w:cstheme="minorEastAsia"/>
          <w:b/>
        </w:rPr>
        <w:t>四、法定代表人（负责人）身份证明</w:t>
      </w:r>
      <w:bookmarkEnd w:id="115"/>
      <w:bookmarkEnd w:id="116"/>
      <w:bookmarkEnd w:id="117"/>
    </w:p>
    <w:p>
      <w:pPr>
        <w:wordWrap w:val="0"/>
        <w:autoSpaceDE w:val="0"/>
        <w:autoSpaceDN w:val="0"/>
        <w:adjustRightInd w:val="0"/>
        <w:spacing w:line="360" w:lineRule="auto"/>
        <w:ind w:right="960"/>
        <w:rPr>
          <w:rFonts w:asciiTheme="minorEastAsia" w:hAnsiTheme="minorEastAsia" w:eastAsiaTheme="minorEastAsia" w:cstheme="minorEastAsia"/>
          <w:kern w:val="0"/>
          <w:szCs w:val="21"/>
        </w:rPr>
      </w:pPr>
    </w:p>
    <w:p>
      <w:pPr>
        <w:wordWrap w:val="0"/>
        <w:autoSpaceDE w:val="0"/>
        <w:autoSpaceDN w:val="0"/>
        <w:adjustRightInd w:val="0"/>
        <w:spacing w:line="360" w:lineRule="auto"/>
        <w:ind w:right="960"/>
        <w:rPr>
          <w:rFonts w:asciiTheme="minorEastAsia" w:hAnsiTheme="minorEastAsia" w:eastAsiaTheme="minorEastAsia" w:cstheme="minorEastAsia"/>
          <w:bCs/>
          <w:szCs w:val="21"/>
          <w:u w:val="single"/>
          <w:lang w:val="zh-CN"/>
        </w:rPr>
      </w:pPr>
      <w:r>
        <w:rPr>
          <w:rFonts w:hint="eastAsia" w:asciiTheme="minorEastAsia" w:hAnsiTheme="minorEastAsia" w:eastAsiaTheme="minorEastAsia" w:cstheme="minorEastAsia"/>
          <w:kern w:val="0"/>
          <w:szCs w:val="21"/>
        </w:rPr>
        <w:t>投标人名称：</w:t>
      </w:r>
    </w:p>
    <w:p>
      <w:pPr>
        <w:wordWrap w:val="0"/>
        <w:autoSpaceDE w:val="0"/>
        <w:autoSpaceDN w:val="0"/>
        <w:adjustRightInd w:val="0"/>
        <w:spacing w:line="360" w:lineRule="auto"/>
        <w:ind w:right="960"/>
        <w:rPr>
          <w:rFonts w:asciiTheme="minorEastAsia" w:hAnsiTheme="minorEastAsia" w:eastAsiaTheme="minorEastAsia" w:cstheme="minorEastAsia"/>
          <w:bCs/>
          <w:szCs w:val="21"/>
          <w:u w:val="single"/>
          <w:lang w:val="zh-CN"/>
        </w:rPr>
      </w:pPr>
      <w:r>
        <w:rPr>
          <w:rFonts w:hint="eastAsia" w:asciiTheme="minorEastAsia" w:hAnsiTheme="minorEastAsia" w:eastAsiaTheme="minorEastAsia" w:cstheme="minorEastAsia"/>
          <w:kern w:val="0"/>
          <w:szCs w:val="21"/>
        </w:rPr>
        <w:t>单位性质：</w:t>
      </w:r>
    </w:p>
    <w:p>
      <w:pPr>
        <w:wordWrap w:val="0"/>
        <w:autoSpaceDE w:val="0"/>
        <w:autoSpaceDN w:val="0"/>
        <w:adjustRightInd w:val="0"/>
        <w:spacing w:line="360" w:lineRule="auto"/>
        <w:ind w:right="960"/>
        <w:rPr>
          <w:rFonts w:asciiTheme="minorEastAsia" w:hAnsiTheme="minorEastAsia" w:eastAsiaTheme="minorEastAsia" w:cstheme="minorEastAsia"/>
          <w:bCs/>
          <w:szCs w:val="21"/>
          <w:u w:val="single"/>
          <w:lang w:val="zh-CN"/>
        </w:rPr>
      </w:pPr>
      <w:r>
        <w:rPr>
          <w:rFonts w:hint="eastAsia" w:asciiTheme="minorEastAsia" w:hAnsiTheme="minorEastAsia" w:eastAsiaTheme="minorEastAsia" w:cstheme="minorEastAsia"/>
          <w:kern w:val="0"/>
          <w:szCs w:val="21"/>
        </w:rPr>
        <w:t>地址：</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成立时间：年月日</w:t>
      </w:r>
    </w:p>
    <w:p>
      <w:pPr>
        <w:wordWrap w:val="0"/>
        <w:autoSpaceDE w:val="0"/>
        <w:autoSpaceDN w:val="0"/>
        <w:adjustRightInd w:val="0"/>
        <w:spacing w:line="360" w:lineRule="auto"/>
        <w:ind w:right="960"/>
        <w:rPr>
          <w:rFonts w:asciiTheme="minorEastAsia" w:hAnsiTheme="minorEastAsia" w:eastAsiaTheme="minorEastAsia" w:cstheme="minorEastAsia"/>
          <w:bCs/>
          <w:szCs w:val="21"/>
          <w:u w:val="single"/>
          <w:lang w:val="zh-CN"/>
        </w:rPr>
      </w:pPr>
      <w:r>
        <w:rPr>
          <w:rFonts w:hint="eastAsia" w:asciiTheme="minorEastAsia" w:hAnsiTheme="minorEastAsia" w:eastAsiaTheme="minorEastAsia" w:cstheme="minorEastAsia"/>
          <w:kern w:val="0"/>
          <w:szCs w:val="21"/>
        </w:rPr>
        <w:t>经营期限：</w:t>
      </w:r>
    </w:p>
    <w:p>
      <w:pPr>
        <w:wordWrap w:val="0"/>
        <w:autoSpaceDE w:val="0"/>
        <w:autoSpaceDN w:val="0"/>
        <w:adjustRightInd w:val="0"/>
        <w:spacing w:line="360" w:lineRule="auto"/>
        <w:ind w:right="96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姓名： 性别：年龄：</w:t>
      </w:r>
      <w:r>
        <w:rPr>
          <w:rFonts w:hint="eastAsia" w:asciiTheme="minorEastAsia" w:hAnsiTheme="minorEastAsia" w:eastAsiaTheme="minorEastAsia" w:cstheme="minorEastAsia"/>
          <w:kern w:val="0"/>
          <w:szCs w:val="21"/>
        </w:rPr>
        <w:t>职务：</w:t>
      </w:r>
      <w:r>
        <w:rPr>
          <w:rFonts w:hint="eastAsia" w:asciiTheme="minorEastAsia" w:hAnsiTheme="minorEastAsia" w:eastAsiaTheme="minorEastAsia" w:cstheme="minorEastAsia"/>
          <w:szCs w:val="21"/>
        </w:rPr>
        <w:t>系</w:t>
      </w:r>
      <w:r>
        <w:rPr>
          <w:rFonts w:hint="eastAsia" w:asciiTheme="minorEastAsia" w:hAnsiTheme="minorEastAsia" w:eastAsiaTheme="minorEastAsia" w:cstheme="minorEastAsia"/>
          <w:szCs w:val="21"/>
          <w:u w:val="single"/>
        </w:rPr>
        <w:t xml:space="preserve"> （投标人名称）</w:t>
      </w:r>
      <w:r>
        <w:rPr>
          <w:rFonts w:hint="eastAsia" w:asciiTheme="minorEastAsia" w:hAnsiTheme="minorEastAsia" w:eastAsiaTheme="minorEastAsia" w:cstheme="minorEastAsia"/>
          <w:szCs w:val="21"/>
        </w:rPr>
        <w:t>的法定代表人。</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特此证明。</w:t>
      </w:r>
    </w:p>
    <w:p>
      <w:pPr>
        <w:spacing w:line="200" w:lineRule="exact"/>
        <w:rPr>
          <w:rFonts w:asciiTheme="minorEastAsia" w:hAnsiTheme="minorEastAsia" w:eastAsiaTheme="minorEastAsia" w:cstheme="minorEastAsia"/>
          <w:szCs w:val="21"/>
        </w:rPr>
      </w:pPr>
    </w:p>
    <w:p>
      <w:pPr>
        <w:pStyle w:val="28"/>
        <w:tabs>
          <w:tab w:val="left" w:pos="1158"/>
          <w:tab w:val="left" w:pos="1544"/>
          <w:tab w:val="clear" w:pos="945"/>
          <w:tab w:val="clear" w:pos="1155"/>
        </w:tabs>
        <w:rPr>
          <w:rFonts w:asciiTheme="minorEastAsia" w:hAnsiTheme="minorEastAsia" w:eastAsiaTheme="minorEastAsia" w:cstheme="minorEastAsia"/>
          <w:szCs w:val="21"/>
        </w:rPr>
      </w:pPr>
    </w:p>
    <w:p>
      <w:pPr>
        <w:spacing w:line="480" w:lineRule="auto"/>
        <w:rPr>
          <w:rFonts w:asciiTheme="minorEastAsia" w:hAnsiTheme="minorEastAsia" w:eastAsiaTheme="minorEastAsia" w:cstheme="minorEastAsia"/>
          <w:szCs w:val="21"/>
        </w:rPr>
      </w:pPr>
    </w:p>
    <w:p>
      <w:pPr>
        <w:pStyle w:val="28"/>
        <w:tabs>
          <w:tab w:val="left" w:pos="1158"/>
          <w:tab w:val="left" w:pos="1544"/>
          <w:tab w:val="clear" w:pos="945"/>
          <w:tab w:val="clear" w:pos="1155"/>
        </w:tabs>
        <w:rPr>
          <w:rFonts w:asciiTheme="minorEastAsia" w:hAnsiTheme="minorEastAsia" w:eastAsiaTheme="minorEastAsia" w:cstheme="minorEastAsia"/>
          <w:szCs w:val="21"/>
        </w:rPr>
      </w:pPr>
    </w:p>
    <w:p>
      <w:pPr>
        <w:wordWrap w:val="0"/>
        <w:autoSpaceDE w:val="0"/>
        <w:autoSpaceDN w:val="0"/>
        <w:adjustRightInd w:val="0"/>
        <w:spacing w:line="600" w:lineRule="auto"/>
        <w:ind w:right="960" w:firstLine="1995" w:firstLineChars="950"/>
        <w:rPr>
          <w:rFonts w:asciiTheme="minorEastAsia" w:hAnsiTheme="minorEastAsia" w:eastAsiaTheme="minorEastAsia" w:cstheme="minorEastAsia"/>
          <w:bCs/>
          <w:szCs w:val="21"/>
          <w:u w:val="single"/>
          <w:lang w:val="zh-CN"/>
        </w:rPr>
      </w:pPr>
      <w:r>
        <w:rPr>
          <w:rFonts w:hint="eastAsia" w:asciiTheme="minorEastAsia" w:hAnsiTheme="minorEastAsia" w:eastAsiaTheme="minorEastAsia" w:cstheme="minorEastAsia"/>
          <w:szCs w:val="21"/>
        </w:rPr>
        <w:t>投标人（盖单位电子签章）</w:t>
      </w:r>
      <w:r>
        <w:rPr>
          <w:rFonts w:hint="eastAsia" w:asciiTheme="minorEastAsia" w:hAnsiTheme="minorEastAsia" w:eastAsiaTheme="minorEastAsia" w:cstheme="minorEastAsia"/>
          <w:kern w:val="0"/>
          <w:szCs w:val="21"/>
        </w:rPr>
        <w:t>：</w:t>
      </w:r>
    </w:p>
    <w:p>
      <w:pPr>
        <w:pStyle w:val="28"/>
        <w:tabs>
          <w:tab w:val="left" w:pos="1158"/>
          <w:tab w:val="left" w:pos="1544"/>
          <w:tab w:val="clear" w:pos="945"/>
          <w:tab w:val="clear" w:pos="1155"/>
        </w:tabs>
        <w:ind w:firstLine="3255" w:firstLineChars="1550"/>
        <w:jc w:val="center"/>
        <w:rPr>
          <w:rFonts w:asciiTheme="minorEastAsia" w:hAnsiTheme="minorEastAsia" w:eastAsiaTheme="minorEastAsia" w:cstheme="minorEastAsia"/>
          <w:szCs w:val="21"/>
        </w:rPr>
      </w:pPr>
      <w:bookmarkStart w:id="118" w:name="_Toc11096"/>
      <w:bookmarkStart w:id="119" w:name="_Toc15988"/>
      <w:r>
        <w:rPr>
          <w:rFonts w:hint="eastAsia" w:asciiTheme="minorEastAsia" w:hAnsiTheme="minorEastAsia" w:eastAsiaTheme="minorEastAsia" w:cstheme="minorEastAsia"/>
          <w:szCs w:val="21"/>
        </w:rPr>
        <w:t xml:space="preserve">年月日  </w:t>
      </w:r>
      <w:bookmarkStart w:id="120" w:name="_Toc30604"/>
    </w:p>
    <w:p>
      <w:pPr>
        <w:rPr>
          <w:rStyle w:val="63"/>
          <w:rFonts w:asciiTheme="minorEastAsia" w:hAnsiTheme="minorEastAsia" w:eastAsiaTheme="minorEastAsia" w:cstheme="minorEastAsia"/>
        </w:rPr>
      </w:pPr>
      <w:r>
        <w:rPr>
          <w:rStyle w:val="63"/>
          <w:rFonts w:hint="eastAsia" w:asciiTheme="minorEastAsia" w:hAnsiTheme="minorEastAsia" w:eastAsiaTheme="minorEastAsia" w:cstheme="minorEastAsia"/>
        </w:rPr>
        <w:br w:type="page"/>
      </w:r>
    </w:p>
    <w:p>
      <w:pPr>
        <w:pStyle w:val="28"/>
        <w:tabs>
          <w:tab w:val="left" w:pos="1158"/>
          <w:tab w:val="left" w:pos="1544"/>
          <w:tab w:val="clear" w:pos="945"/>
          <w:tab w:val="clear" w:pos="1155"/>
        </w:tabs>
        <w:ind w:left="0" w:leftChars="0" w:firstLine="0" w:firstLineChars="0"/>
        <w:jc w:val="center"/>
        <w:outlineLvl w:val="1"/>
        <w:rPr>
          <w:rStyle w:val="63"/>
          <w:rFonts w:asciiTheme="minorEastAsia" w:hAnsiTheme="minorEastAsia" w:eastAsiaTheme="minorEastAsia" w:cstheme="minorEastAsia"/>
          <w:b w:val="0"/>
        </w:rPr>
      </w:pPr>
      <w:r>
        <w:rPr>
          <w:rStyle w:val="63"/>
          <w:rFonts w:hint="eastAsia" w:asciiTheme="minorEastAsia" w:hAnsiTheme="minorEastAsia" w:eastAsiaTheme="minorEastAsia" w:cstheme="minorEastAsia"/>
        </w:rPr>
        <w:t>五、授权委托书</w:t>
      </w:r>
      <w:bookmarkEnd w:id="118"/>
      <w:bookmarkEnd w:id="119"/>
      <w:bookmarkEnd w:id="120"/>
    </w:p>
    <w:p>
      <w:pPr>
        <w:rPr>
          <w:rFonts w:asciiTheme="minorEastAsia" w:hAnsiTheme="minorEastAsia" w:eastAsiaTheme="minorEastAsia" w:cstheme="minorEastAsia"/>
          <w:sz w:val="24"/>
        </w:rPr>
      </w:pPr>
    </w:p>
    <w:p>
      <w:pPr>
        <w:spacing w:after="156"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本人</w:t>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rPr>
        <w:t>（姓名）系</w:t>
      </w:r>
      <w:r>
        <w:rPr>
          <w:rFonts w:hint="eastAsia" w:asciiTheme="minorEastAsia" w:hAnsiTheme="minorEastAsia" w:eastAsiaTheme="minorEastAsia" w:cstheme="minorEastAsia"/>
          <w:szCs w:val="21"/>
          <w:u w:val="single"/>
        </w:rPr>
        <w:t xml:space="preserve"> （投标人名称）</w:t>
      </w:r>
      <w:r>
        <w:rPr>
          <w:rFonts w:hint="eastAsia" w:asciiTheme="minorEastAsia" w:hAnsiTheme="minorEastAsia" w:eastAsiaTheme="minorEastAsia" w:cstheme="minorEastAsia"/>
          <w:szCs w:val="21"/>
        </w:rPr>
        <w:t>的法定代表人（负责人），现委托</w:t>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rPr>
        <w:t>（姓名）为我方代理人。代理人根据授权，以我方名义签署、澄清、说明、补正、递交、撤回、修改</w:t>
      </w:r>
      <w:r>
        <w:rPr>
          <w:rFonts w:hint="eastAsia" w:asciiTheme="minorEastAsia" w:hAnsiTheme="minorEastAsia" w:eastAsiaTheme="minorEastAsia" w:cstheme="minorEastAsia"/>
          <w:szCs w:val="21"/>
          <w:u w:val="single"/>
        </w:rPr>
        <w:t>（项目名称）</w:t>
      </w:r>
      <w:r>
        <w:rPr>
          <w:rFonts w:hint="eastAsia" w:asciiTheme="minorEastAsia" w:hAnsiTheme="minorEastAsia" w:eastAsiaTheme="minorEastAsia" w:cstheme="minorEastAsia"/>
          <w:szCs w:val="21"/>
        </w:rPr>
        <w:t>投标文件、签订合同和处理有关事宜，其法律后果由我方承担。</w:t>
      </w:r>
    </w:p>
    <w:p>
      <w:pPr>
        <w:tabs>
          <w:tab w:val="left" w:pos="3900"/>
        </w:tabs>
        <w:spacing w:line="480" w:lineRule="auto"/>
        <w:ind w:left="5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委托期限：</w:t>
      </w:r>
      <w:r>
        <w:rPr>
          <w:rFonts w:hint="eastAsia" w:asciiTheme="minorEastAsia" w:hAnsiTheme="minorEastAsia" w:eastAsiaTheme="minorEastAsia" w:cstheme="minorEastAsia"/>
          <w:szCs w:val="21"/>
          <w:u w:val="single"/>
        </w:rPr>
        <w:tab/>
      </w:r>
      <w:r>
        <w:rPr>
          <w:rFonts w:hint="eastAsia" w:asciiTheme="minorEastAsia" w:hAnsiTheme="minorEastAsia" w:eastAsiaTheme="minorEastAsia" w:cstheme="minorEastAsia"/>
          <w:szCs w:val="21"/>
        </w:rPr>
        <w:t>。</w:t>
      </w:r>
    </w:p>
    <w:p>
      <w:pPr>
        <w:spacing w:line="480" w:lineRule="auto"/>
        <w:ind w:left="5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代理人无转委托权。</w:t>
      </w:r>
    </w:p>
    <w:p>
      <w:pPr>
        <w:spacing w:line="480" w:lineRule="auto"/>
        <w:ind w:left="5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后附：法定代表人、委托代理人身份证复印件</w:t>
      </w:r>
    </w:p>
    <w:p>
      <w:pPr>
        <w:pStyle w:val="28"/>
        <w:tabs>
          <w:tab w:val="left" w:pos="1158"/>
          <w:tab w:val="left" w:pos="1544"/>
          <w:tab w:val="clear" w:pos="945"/>
          <w:tab w:val="clear" w:pos="1155"/>
        </w:tabs>
        <w:rPr>
          <w:rFonts w:asciiTheme="minorEastAsia" w:hAnsiTheme="minorEastAsia" w:eastAsiaTheme="minorEastAsia" w:cstheme="minorEastAsia"/>
          <w:szCs w:val="21"/>
        </w:rPr>
      </w:pPr>
    </w:p>
    <w:p>
      <w:pPr>
        <w:wordWrap w:val="0"/>
        <w:autoSpaceDE w:val="0"/>
        <w:autoSpaceDN w:val="0"/>
        <w:adjustRightInd w:val="0"/>
        <w:spacing w:line="600" w:lineRule="auto"/>
        <w:ind w:right="960" w:firstLine="840" w:firstLineChars="400"/>
        <w:rPr>
          <w:rFonts w:asciiTheme="minorEastAsia" w:hAnsiTheme="minorEastAsia" w:eastAsiaTheme="minorEastAsia" w:cstheme="minorEastAsia"/>
          <w:bCs/>
          <w:szCs w:val="21"/>
          <w:u w:val="single"/>
          <w:lang w:val="zh-CN"/>
        </w:rPr>
      </w:pPr>
      <w:r>
        <w:rPr>
          <w:rFonts w:hint="eastAsia" w:asciiTheme="minorEastAsia" w:hAnsiTheme="minorEastAsia" w:eastAsiaTheme="minorEastAsia" w:cstheme="minorEastAsia"/>
          <w:szCs w:val="21"/>
        </w:rPr>
        <w:t>投标人（盖单位电子签章）</w:t>
      </w:r>
      <w:r>
        <w:rPr>
          <w:rFonts w:hint="eastAsia" w:asciiTheme="minorEastAsia" w:hAnsiTheme="minorEastAsia" w:eastAsiaTheme="minorEastAsia" w:cstheme="minorEastAsia"/>
          <w:kern w:val="0"/>
          <w:szCs w:val="21"/>
        </w:rPr>
        <w:t>：</w:t>
      </w:r>
    </w:p>
    <w:p>
      <w:pPr>
        <w:wordWrap w:val="0"/>
        <w:autoSpaceDE w:val="0"/>
        <w:autoSpaceDN w:val="0"/>
        <w:adjustRightInd w:val="0"/>
        <w:spacing w:line="600" w:lineRule="auto"/>
        <w:ind w:right="960" w:firstLine="840" w:firstLineChars="400"/>
        <w:rPr>
          <w:rFonts w:asciiTheme="minorEastAsia" w:hAnsiTheme="minorEastAsia" w:eastAsiaTheme="minorEastAsia" w:cstheme="minorEastAsia"/>
          <w:bCs/>
          <w:szCs w:val="21"/>
          <w:u w:val="single"/>
          <w:lang w:val="zh-CN"/>
        </w:rPr>
      </w:pPr>
      <w:r>
        <w:rPr>
          <w:rFonts w:hint="eastAsia" w:asciiTheme="minorEastAsia" w:hAnsiTheme="minorEastAsia" w:eastAsiaTheme="minorEastAsia" w:cstheme="minorEastAsia"/>
          <w:kern w:val="0"/>
          <w:szCs w:val="21"/>
        </w:rPr>
        <w:t>法定代表人</w:t>
      </w:r>
      <w:r>
        <w:rPr>
          <w:rFonts w:hint="eastAsia" w:asciiTheme="minorEastAsia" w:hAnsiTheme="minorEastAsia" w:eastAsiaTheme="minorEastAsia" w:cstheme="minorEastAsia"/>
          <w:bCs/>
          <w:szCs w:val="21"/>
          <w:lang w:val="zh-CN"/>
        </w:rPr>
        <w:t>（</w:t>
      </w:r>
      <w:r>
        <w:rPr>
          <w:rFonts w:hint="eastAsia" w:asciiTheme="minorEastAsia" w:hAnsiTheme="minorEastAsia" w:eastAsiaTheme="minorEastAsia" w:cstheme="minorEastAsia"/>
          <w:kern w:val="0"/>
          <w:szCs w:val="21"/>
        </w:rPr>
        <w:t>盖个人电子签章</w:t>
      </w:r>
      <w:r>
        <w:rPr>
          <w:rFonts w:hint="eastAsia" w:asciiTheme="minorEastAsia" w:hAnsiTheme="minorEastAsia" w:eastAsiaTheme="minorEastAsia" w:cstheme="minorEastAsia"/>
          <w:bCs/>
          <w:szCs w:val="21"/>
          <w:lang w:val="zh-CN"/>
        </w:rPr>
        <w:t>）</w:t>
      </w:r>
      <w:r>
        <w:rPr>
          <w:rFonts w:hint="eastAsia" w:asciiTheme="minorEastAsia" w:hAnsiTheme="minorEastAsia" w:eastAsiaTheme="minorEastAsia" w:cstheme="minorEastAsia"/>
          <w:kern w:val="0"/>
          <w:szCs w:val="21"/>
        </w:rPr>
        <w:t>：</w:t>
      </w:r>
    </w:p>
    <w:p>
      <w:pPr>
        <w:wordWrap w:val="0"/>
        <w:autoSpaceDE w:val="0"/>
        <w:autoSpaceDN w:val="0"/>
        <w:adjustRightInd w:val="0"/>
        <w:spacing w:line="600" w:lineRule="auto"/>
        <w:ind w:right="960" w:firstLine="840" w:firstLineChars="400"/>
        <w:rPr>
          <w:rFonts w:asciiTheme="minorEastAsia" w:hAnsiTheme="minorEastAsia" w:eastAsiaTheme="minorEastAsia" w:cstheme="minorEastAsia"/>
          <w:bCs/>
          <w:szCs w:val="21"/>
          <w:u w:val="single"/>
          <w:lang w:val="zh-CN"/>
        </w:rPr>
      </w:pPr>
      <w:r>
        <w:rPr>
          <w:rFonts w:hint="eastAsia" w:asciiTheme="minorEastAsia" w:hAnsiTheme="minorEastAsia" w:eastAsiaTheme="minorEastAsia" w:cstheme="minorEastAsia"/>
          <w:kern w:val="0"/>
          <w:szCs w:val="21"/>
        </w:rPr>
        <w:t>身份证号码：</w:t>
      </w:r>
    </w:p>
    <w:p>
      <w:pPr>
        <w:wordWrap w:val="0"/>
        <w:autoSpaceDE w:val="0"/>
        <w:autoSpaceDN w:val="0"/>
        <w:adjustRightInd w:val="0"/>
        <w:spacing w:line="600" w:lineRule="auto"/>
        <w:ind w:right="960" w:firstLine="840" w:firstLineChars="400"/>
        <w:rPr>
          <w:rFonts w:asciiTheme="minorEastAsia" w:hAnsiTheme="minorEastAsia" w:eastAsiaTheme="minorEastAsia" w:cstheme="minorEastAsia"/>
          <w:bCs/>
          <w:szCs w:val="21"/>
          <w:u w:val="single"/>
          <w:lang w:val="zh-CN"/>
        </w:rPr>
      </w:pPr>
      <w:r>
        <w:rPr>
          <w:rFonts w:hint="eastAsia" w:asciiTheme="minorEastAsia" w:hAnsiTheme="minorEastAsia" w:eastAsiaTheme="minorEastAsia" w:cstheme="minorEastAsia"/>
          <w:kern w:val="0"/>
          <w:szCs w:val="21"/>
        </w:rPr>
        <w:t>委托代理人</w:t>
      </w:r>
      <w:r>
        <w:rPr>
          <w:rFonts w:hint="eastAsia" w:asciiTheme="minorEastAsia" w:hAnsiTheme="minorEastAsia" w:eastAsiaTheme="minorEastAsia" w:cstheme="minorEastAsia"/>
          <w:bCs/>
          <w:szCs w:val="21"/>
          <w:lang w:val="zh-CN"/>
        </w:rPr>
        <w:t>（签字）</w:t>
      </w:r>
      <w:r>
        <w:rPr>
          <w:rFonts w:hint="eastAsia" w:asciiTheme="minorEastAsia" w:hAnsiTheme="minorEastAsia" w:eastAsiaTheme="minorEastAsia" w:cstheme="minorEastAsia"/>
          <w:kern w:val="0"/>
          <w:szCs w:val="21"/>
        </w:rPr>
        <w:t>：</w:t>
      </w:r>
    </w:p>
    <w:p>
      <w:pPr>
        <w:wordWrap w:val="0"/>
        <w:autoSpaceDE w:val="0"/>
        <w:autoSpaceDN w:val="0"/>
        <w:adjustRightInd w:val="0"/>
        <w:spacing w:line="600" w:lineRule="auto"/>
        <w:ind w:right="960" w:firstLine="840" w:firstLineChars="400"/>
        <w:rPr>
          <w:rFonts w:asciiTheme="minorEastAsia" w:hAnsiTheme="minorEastAsia" w:eastAsiaTheme="minorEastAsia" w:cstheme="minorEastAsia"/>
          <w:bCs/>
          <w:szCs w:val="21"/>
          <w:u w:val="single"/>
          <w:lang w:val="zh-CN"/>
        </w:rPr>
      </w:pPr>
      <w:r>
        <w:rPr>
          <w:rFonts w:hint="eastAsia" w:asciiTheme="minorEastAsia" w:hAnsiTheme="minorEastAsia" w:eastAsiaTheme="minorEastAsia" w:cstheme="minorEastAsia"/>
          <w:kern w:val="0"/>
          <w:szCs w:val="21"/>
        </w:rPr>
        <w:t>身份证号码：</w:t>
      </w:r>
    </w:p>
    <w:p>
      <w:pPr>
        <w:tabs>
          <w:tab w:val="left" w:pos="7560"/>
          <w:tab w:val="left" w:pos="8520"/>
        </w:tabs>
        <w:spacing w:line="240" w:lineRule="atLeast"/>
        <w:ind w:left="6620"/>
        <w:rPr>
          <w:rFonts w:asciiTheme="minorEastAsia" w:hAnsiTheme="minorEastAsia" w:eastAsiaTheme="minorEastAsia" w:cstheme="minorEastAsia"/>
          <w:szCs w:val="21"/>
        </w:rPr>
      </w:pPr>
    </w:p>
    <w:p>
      <w:pPr>
        <w:tabs>
          <w:tab w:val="left" w:pos="7560"/>
          <w:tab w:val="left" w:pos="8520"/>
        </w:tabs>
        <w:spacing w:line="240" w:lineRule="atLeast"/>
        <w:ind w:left="66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t>日</w:t>
      </w:r>
    </w:p>
    <w:p>
      <w:pPr>
        <w:pStyle w:val="28"/>
        <w:tabs>
          <w:tab w:val="left" w:pos="1158"/>
          <w:tab w:val="left" w:pos="1544"/>
          <w:tab w:val="clear" w:pos="945"/>
          <w:tab w:val="clear" w:pos="1155"/>
        </w:tabs>
        <w:rPr>
          <w:rFonts w:asciiTheme="minorEastAsia" w:hAnsiTheme="minorEastAsia" w:eastAsiaTheme="minorEastAsia" w:cstheme="minorEastAsia"/>
        </w:rPr>
      </w:pPr>
    </w:p>
    <w:p>
      <w:pPr>
        <w:pStyle w:val="28"/>
        <w:tabs>
          <w:tab w:val="left" w:pos="1158"/>
          <w:tab w:val="left" w:pos="1544"/>
          <w:tab w:val="clear" w:pos="945"/>
          <w:tab w:val="clear" w:pos="1155"/>
        </w:tabs>
        <w:rPr>
          <w:rFonts w:asciiTheme="minorEastAsia" w:hAnsiTheme="minorEastAsia" w:eastAsiaTheme="minorEastAsia" w:cstheme="minorEastAsia"/>
        </w:rPr>
      </w:pPr>
    </w:p>
    <w:p>
      <w:pPr>
        <w:pStyle w:val="28"/>
        <w:tabs>
          <w:tab w:val="left" w:pos="1158"/>
          <w:tab w:val="left" w:pos="1544"/>
          <w:tab w:val="clear" w:pos="945"/>
          <w:tab w:val="clear" w:pos="1155"/>
        </w:tabs>
        <w:rPr>
          <w:rFonts w:asciiTheme="minorEastAsia" w:hAnsiTheme="minorEastAsia" w:eastAsiaTheme="minorEastAsia" w:cstheme="minorEastAsia"/>
        </w:rPr>
      </w:pPr>
    </w:p>
    <w:p>
      <w:pPr>
        <w:pStyle w:val="28"/>
        <w:tabs>
          <w:tab w:val="left" w:pos="1158"/>
          <w:tab w:val="left" w:pos="1544"/>
          <w:tab w:val="clear" w:pos="945"/>
          <w:tab w:val="clear" w:pos="1155"/>
        </w:tabs>
        <w:rPr>
          <w:rFonts w:asciiTheme="minorEastAsia" w:hAnsiTheme="minorEastAsia" w:eastAsiaTheme="minorEastAsia" w:cstheme="minorEastAsia"/>
        </w:rPr>
      </w:pPr>
    </w:p>
    <w:p>
      <w:pPr>
        <w:pStyle w:val="28"/>
        <w:tabs>
          <w:tab w:val="left" w:pos="1158"/>
          <w:tab w:val="left" w:pos="1544"/>
          <w:tab w:val="clear" w:pos="945"/>
          <w:tab w:val="clear" w:pos="1155"/>
        </w:tabs>
        <w:rPr>
          <w:rFonts w:asciiTheme="minorEastAsia" w:hAnsiTheme="minorEastAsia" w:eastAsiaTheme="minorEastAsia" w:cstheme="minorEastAsia"/>
        </w:rPr>
      </w:pPr>
    </w:p>
    <w:p>
      <w:pPr>
        <w:pStyle w:val="28"/>
        <w:tabs>
          <w:tab w:val="left" w:pos="1158"/>
          <w:tab w:val="left" w:pos="1544"/>
          <w:tab w:val="clear" w:pos="945"/>
          <w:tab w:val="clear" w:pos="1155"/>
        </w:tabs>
        <w:rPr>
          <w:rFonts w:asciiTheme="minorEastAsia" w:hAnsiTheme="minorEastAsia" w:eastAsiaTheme="minorEastAsia" w:cstheme="minorEastAsia"/>
        </w:rPr>
      </w:pPr>
    </w:p>
    <w:p>
      <w:pPr>
        <w:pStyle w:val="28"/>
        <w:tabs>
          <w:tab w:val="left" w:pos="1158"/>
          <w:tab w:val="left" w:pos="1544"/>
          <w:tab w:val="clear" w:pos="945"/>
          <w:tab w:val="clear" w:pos="1155"/>
        </w:tabs>
        <w:rPr>
          <w:rFonts w:asciiTheme="minorEastAsia" w:hAnsiTheme="minorEastAsia" w:eastAsiaTheme="minorEastAsia" w:cstheme="minorEastAsia"/>
        </w:rPr>
      </w:pPr>
    </w:p>
    <w:p>
      <w:pPr>
        <w:rPr>
          <w:rStyle w:val="63"/>
          <w:rFonts w:asciiTheme="minorEastAsia" w:hAnsiTheme="minorEastAsia" w:eastAsiaTheme="minorEastAsia" w:cstheme="minorEastAsia"/>
        </w:rPr>
      </w:pPr>
      <w:bookmarkStart w:id="121" w:name="_Toc17856"/>
      <w:bookmarkStart w:id="122" w:name="_Toc21717"/>
      <w:bookmarkStart w:id="123" w:name="_Toc12823"/>
      <w:r>
        <w:rPr>
          <w:rStyle w:val="63"/>
          <w:rFonts w:hint="eastAsia" w:asciiTheme="minorEastAsia" w:hAnsiTheme="minorEastAsia" w:eastAsiaTheme="minorEastAsia" w:cstheme="minorEastAsia"/>
        </w:rPr>
        <w:br w:type="page"/>
      </w:r>
    </w:p>
    <w:p>
      <w:pPr>
        <w:pStyle w:val="4"/>
        <w:rPr>
          <w:rStyle w:val="63"/>
          <w:rFonts w:asciiTheme="minorEastAsia" w:hAnsiTheme="minorEastAsia" w:eastAsiaTheme="minorEastAsia" w:cstheme="minorEastAsia"/>
          <w:b/>
        </w:rPr>
      </w:pPr>
      <w:r>
        <w:rPr>
          <w:rStyle w:val="63"/>
          <w:rFonts w:hint="eastAsia" w:asciiTheme="minorEastAsia" w:hAnsiTheme="minorEastAsia" w:eastAsiaTheme="minorEastAsia" w:cstheme="minorEastAsia"/>
          <w:b/>
        </w:rPr>
        <w:t>六、项目实施方案</w:t>
      </w:r>
      <w:bookmarkEnd w:id="121"/>
      <w:bookmarkEnd w:id="122"/>
    </w:p>
    <w:p>
      <w:pPr>
        <w:rPr>
          <w:rFonts w:asciiTheme="minorEastAsia" w:hAnsiTheme="minorEastAsia" w:eastAsiaTheme="minorEastAsia" w:cstheme="minorEastAsia"/>
          <w:szCs w:val="21"/>
        </w:rPr>
      </w:pPr>
    </w:p>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格式自拟</w:t>
      </w:r>
    </w:p>
    <w:p>
      <w:pPr>
        <w:pStyle w:val="28"/>
        <w:tabs>
          <w:tab w:val="left" w:pos="1158"/>
          <w:tab w:val="left" w:pos="1544"/>
          <w:tab w:val="clear" w:pos="945"/>
          <w:tab w:val="clear" w:pos="1155"/>
        </w:tabs>
        <w:rPr>
          <w:rFonts w:asciiTheme="minorEastAsia" w:hAnsiTheme="minorEastAsia" w:eastAsiaTheme="minorEastAsia" w:cstheme="minorEastAsia"/>
        </w:rPr>
      </w:pPr>
    </w:p>
    <w:p>
      <w:pPr>
        <w:pStyle w:val="4"/>
        <w:rPr>
          <w:rFonts w:asciiTheme="minorEastAsia" w:hAnsiTheme="minorEastAsia" w:eastAsiaTheme="minorEastAsia" w:cstheme="minorEastAsia"/>
          <w:b w:val="0"/>
        </w:rPr>
      </w:pPr>
      <w:r>
        <w:rPr>
          <w:rStyle w:val="63"/>
          <w:rFonts w:hint="eastAsia" w:asciiTheme="minorEastAsia" w:hAnsiTheme="minorEastAsia" w:eastAsiaTheme="minorEastAsia" w:cstheme="minorEastAsia"/>
          <w:b/>
        </w:rPr>
        <w:br w:type="page"/>
      </w:r>
      <w:bookmarkStart w:id="124" w:name="_Toc7052"/>
      <w:r>
        <w:rPr>
          <w:rStyle w:val="63"/>
          <w:rFonts w:hint="eastAsia" w:asciiTheme="minorEastAsia" w:hAnsiTheme="minorEastAsia" w:eastAsiaTheme="minorEastAsia" w:cstheme="minorEastAsia"/>
          <w:b/>
        </w:rPr>
        <w:t>七、售后服务</w:t>
      </w:r>
      <w:bookmarkEnd w:id="124"/>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投标人必须提供但不限于提供以下内容：</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1、详细说明售后服务的内容、形式、含免费维修时间、解决质量或操作问题的响应时间、解决问题实际、维修单位名称、地点。</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2、该次项目所提供的其他免费物品或服务。</w:t>
      </w:r>
    </w:p>
    <w:p>
      <w:pPr>
        <w:spacing w:line="239" w:lineRule="auto"/>
        <w:ind w:left="320"/>
        <w:rPr>
          <w:rFonts w:asciiTheme="minorEastAsia" w:hAnsiTheme="minorEastAsia" w:eastAsiaTheme="minorEastAsia" w:cstheme="minorEastAsia"/>
          <w:szCs w:val="21"/>
        </w:rPr>
      </w:pPr>
    </w:p>
    <w:p>
      <w:pPr>
        <w:spacing w:line="239" w:lineRule="auto"/>
        <w:ind w:left="320"/>
        <w:rPr>
          <w:rFonts w:asciiTheme="minorEastAsia" w:hAnsiTheme="minorEastAsia" w:eastAsiaTheme="minorEastAsia" w:cstheme="minorEastAsia"/>
          <w:szCs w:val="21"/>
        </w:rPr>
      </w:pPr>
    </w:p>
    <w:p>
      <w:pPr>
        <w:spacing w:line="239" w:lineRule="auto"/>
        <w:ind w:left="320"/>
        <w:rPr>
          <w:rFonts w:asciiTheme="minorEastAsia" w:hAnsiTheme="minorEastAsia" w:eastAsiaTheme="minorEastAsia" w:cstheme="minorEastAsia"/>
          <w:szCs w:val="21"/>
        </w:rPr>
      </w:pPr>
    </w:p>
    <w:p>
      <w:pPr>
        <w:wordWrap w:val="0"/>
        <w:autoSpaceDE w:val="0"/>
        <w:autoSpaceDN w:val="0"/>
        <w:adjustRightInd w:val="0"/>
        <w:spacing w:line="480" w:lineRule="auto"/>
        <w:ind w:right="-58" w:firstLine="420" w:firstLineChars="20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lang w:val="zh-CN"/>
        </w:rPr>
        <w:t xml:space="preserve">            投标人（盖单位电子签章）:</w:t>
      </w:r>
    </w:p>
    <w:p>
      <w:pPr>
        <w:wordWrap w:val="0"/>
        <w:autoSpaceDE w:val="0"/>
        <w:autoSpaceDN w:val="0"/>
        <w:adjustRightInd w:val="0"/>
        <w:spacing w:line="480" w:lineRule="auto"/>
        <w:ind w:right="651" w:firstLine="2310" w:firstLineChars="1100"/>
        <w:rPr>
          <w:rFonts w:asciiTheme="minorEastAsia" w:hAnsiTheme="minorEastAsia" w:eastAsiaTheme="minorEastAsia" w:cstheme="minorEastAsia"/>
          <w:bCs/>
          <w:szCs w:val="21"/>
          <w:u w:val="single"/>
          <w:lang w:val="zh-CN"/>
        </w:rPr>
      </w:pPr>
      <w:r>
        <w:rPr>
          <w:rFonts w:hint="eastAsia" w:asciiTheme="minorEastAsia" w:hAnsiTheme="minorEastAsia" w:eastAsiaTheme="minorEastAsia" w:cstheme="minorEastAsia"/>
          <w:kern w:val="0"/>
          <w:szCs w:val="21"/>
        </w:rPr>
        <w:t>法定代表人</w:t>
      </w:r>
      <w:r>
        <w:rPr>
          <w:rFonts w:hint="eastAsia" w:asciiTheme="minorEastAsia" w:hAnsiTheme="minorEastAsia" w:eastAsiaTheme="minorEastAsia" w:cstheme="minorEastAsia"/>
          <w:bCs/>
          <w:szCs w:val="21"/>
          <w:lang w:val="zh-CN"/>
        </w:rPr>
        <w:t>（</w:t>
      </w:r>
      <w:r>
        <w:rPr>
          <w:rFonts w:hint="eastAsia" w:asciiTheme="minorEastAsia" w:hAnsiTheme="minorEastAsia" w:eastAsiaTheme="minorEastAsia" w:cstheme="minorEastAsia"/>
          <w:kern w:val="0"/>
          <w:szCs w:val="21"/>
        </w:rPr>
        <w:t>盖个人电子签章</w:t>
      </w:r>
      <w:r>
        <w:rPr>
          <w:rFonts w:hint="eastAsia" w:asciiTheme="minorEastAsia" w:hAnsiTheme="minorEastAsia" w:eastAsiaTheme="minorEastAsia" w:cstheme="minorEastAsia"/>
          <w:bCs/>
          <w:szCs w:val="21"/>
          <w:lang w:val="zh-CN"/>
        </w:rPr>
        <w:t>）</w:t>
      </w:r>
      <w:r>
        <w:rPr>
          <w:rFonts w:hint="eastAsia" w:asciiTheme="minorEastAsia" w:hAnsiTheme="minorEastAsia" w:eastAsiaTheme="minorEastAsia" w:cstheme="minorEastAsia"/>
          <w:kern w:val="0"/>
          <w:szCs w:val="21"/>
        </w:rPr>
        <w:t>：</w:t>
      </w:r>
    </w:p>
    <w:p>
      <w:pPr>
        <w:wordWrap w:val="0"/>
        <w:spacing w:line="480" w:lineRule="auto"/>
        <w:ind w:right="113" w:firstLine="2373" w:firstLineChars="1050"/>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8"/>
          <w:szCs w:val="21"/>
        </w:rPr>
        <w:t>日    期：</w:t>
      </w:r>
      <w:r>
        <w:rPr>
          <w:rFonts w:hint="eastAsia" w:asciiTheme="minorEastAsia" w:hAnsiTheme="minorEastAsia" w:eastAsiaTheme="minorEastAsia" w:cstheme="minorEastAsia"/>
          <w:szCs w:val="21"/>
        </w:rPr>
        <w:t>年月日</w:t>
      </w:r>
    </w:p>
    <w:p>
      <w:pPr>
        <w:pStyle w:val="4"/>
        <w:rPr>
          <w:rStyle w:val="63"/>
          <w:rFonts w:asciiTheme="minorEastAsia" w:hAnsiTheme="minorEastAsia" w:eastAsiaTheme="minorEastAsia" w:cstheme="minorEastAsia"/>
          <w:b/>
        </w:rPr>
      </w:pPr>
      <w:r>
        <w:rPr>
          <w:rStyle w:val="63"/>
          <w:rFonts w:hint="eastAsia" w:asciiTheme="minorEastAsia" w:hAnsiTheme="minorEastAsia" w:eastAsiaTheme="minorEastAsia" w:cstheme="minorEastAsia"/>
          <w:b/>
          <w:sz w:val="24"/>
        </w:rPr>
        <w:br w:type="page"/>
      </w:r>
      <w:bookmarkStart w:id="125" w:name="_Toc30052"/>
      <w:bookmarkStart w:id="126" w:name="_Toc32477"/>
      <w:r>
        <w:rPr>
          <w:rStyle w:val="63"/>
          <w:rFonts w:hint="eastAsia" w:asciiTheme="minorEastAsia" w:hAnsiTheme="minorEastAsia" w:eastAsiaTheme="minorEastAsia" w:cstheme="minorEastAsia"/>
          <w:b/>
        </w:rPr>
        <w:t>八、投标人基本情况</w:t>
      </w:r>
      <w:bookmarkEnd w:id="125"/>
      <w:bookmarkEnd w:id="126"/>
    </w:p>
    <w:p>
      <w:pPr>
        <w:pStyle w:val="25"/>
        <w:outlineLvl w:val="9"/>
        <w:rPr>
          <w:rFonts w:asciiTheme="minorEastAsia" w:hAnsiTheme="minorEastAsia" w:eastAsiaTheme="minorEastAsia" w:cstheme="minorEastAsia"/>
          <w:kern w:val="2"/>
          <w:sz w:val="24"/>
          <w:szCs w:val="24"/>
        </w:rPr>
      </w:pPr>
      <w:bookmarkStart w:id="127" w:name="_Toc20733"/>
      <w:bookmarkStart w:id="128" w:name="_Toc5689"/>
      <w:r>
        <w:rPr>
          <w:rFonts w:hint="eastAsia" w:asciiTheme="minorEastAsia" w:hAnsiTheme="minorEastAsia" w:eastAsiaTheme="minorEastAsia" w:cstheme="minorEastAsia"/>
          <w:kern w:val="2"/>
          <w:sz w:val="24"/>
          <w:szCs w:val="24"/>
        </w:rPr>
        <w:t xml:space="preserve">8.1  </w:t>
      </w:r>
      <w:bookmarkStart w:id="129" w:name="_Toc2825"/>
      <w:r>
        <w:rPr>
          <w:rFonts w:hint="eastAsia" w:asciiTheme="minorEastAsia" w:hAnsiTheme="minorEastAsia" w:eastAsiaTheme="minorEastAsia" w:cstheme="minorEastAsia"/>
          <w:kern w:val="2"/>
          <w:sz w:val="24"/>
          <w:szCs w:val="24"/>
        </w:rPr>
        <w:t>项目实施人员一览表</w:t>
      </w:r>
      <w:bookmarkEnd w:id="127"/>
      <w:bookmarkEnd w:id="128"/>
      <w:bookmarkEnd w:id="129"/>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275"/>
        <w:gridCol w:w="1276"/>
        <w:gridCol w:w="1134"/>
        <w:gridCol w:w="1701"/>
        <w:gridCol w:w="1374"/>
        <w:gridCol w:w="14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101" w:type="dxa"/>
            <w:noWrap/>
            <w:vAlign w:val="center"/>
          </w:tcPr>
          <w:p>
            <w:pPr>
              <w:spacing w:line="560" w:lineRule="exact"/>
              <w:jc w:val="center"/>
              <w:rPr>
                <w:rFonts w:asciiTheme="minorEastAsia" w:hAnsiTheme="minorEastAsia" w:eastAsiaTheme="minorEastAsia" w:cstheme="minorEastAsia"/>
                <w:bCs/>
              </w:rPr>
            </w:pPr>
            <w:r>
              <w:rPr>
                <w:rFonts w:hint="eastAsia" w:asciiTheme="minorEastAsia" w:hAnsiTheme="minorEastAsia" w:eastAsiaTheme="minorEastAsia" w:cstheme="minorEastAsia"/>
                <w:bCs/>
              </w:rPr>
              <w:t>姓名</w:t>
            </w:r>
          </w:p>
        </w:tc>
        <w:tc>
          <w:tcPr>
            <w:tcW w:w="1275" w:type="dxa"/>
            <w:noWrap/>
            <w:vAlign w:val="center"/>
          </w:tcPr>
          <w:p>
            <w:pPr>
              <w:spacing w:line="560" w:lineRule="exact"/>
              <w:jc w:val="center"/>
              <w:rPr>
                <w:rFonts w:asciiTheme="minorEastAsia" w:hAnsiTheme="minorEastAsia" w:eastAsiaTheme="minorEastAsia" w:cstheme="minorEastAsia"/>
                <w:bCs/>
              </w:rPr>
            </w:pPr>
            <w:r>
              <w:rPr>
                <w:rFonts w:hint="eastAsia" w:asciiTheme="minorEastAsia" w:hAnsiTheme="minorEastAsia" w:eastAsiaTheme="minorEastAsia" w:cstheme="minorEastAsia"/>
                <w:bCs/>
              </w:rPr>
              <w:t>职务</w:t>
            </w:r>
          </w:p>
        </w:tc>
        <w:tc>
          <w:tcPr>
            <w:tcW w:w="1276" w:type="dxa"/>
            <w:noWrap/>
            <w:vAlign w:val="center"/>
          </w:tcPr>
          <w:p>
            <w:pPr>
              <w:spacing w:line="560" w:lineRule="exact"/>
              <w:jc w:val="center"/>
              <w:rPr>
                <w:rFonts w:asciiTheme="minorEastAsia" w:hAnsiTheme="minorEastAsia" w:eastAsiaTheme="minorEastAsia" w:cstheme="minorEastAsia"/>
                <w:bCs/>
              </w:rPr>
            </w:pPr>
            <w:r>
              <w:rPr>
                <w:rFonts w:hint="eastAsia" w:asciiTheme="minorEastAsia" w:hAnsiTheme="minorEastAsia" w:eastAsiaTheme="minorEastAsia" w:cstheme="minorEastAsia"/>
                <w:bCs/>
              </w:rPr>
              <w:t>职称</w:t>
            </w:r>
          </w:p>
        </w:tc>
        <w:tc>
          <w:tcPr>
            <w:tcW w:w="1134" w:type="dxa"/>
            <w:noWrap/>
            <w:vAlign w:val="center"/>
          </w:tcPr>
          <w:p>
            <w:pPr>
              <w:spacing w:line="560" w:lineRule="exact"/>
              <w:jc w:val="center"/>
              <w:rPr>
                <w:rFonts w:asciiTheme="minorEastAsia" w:hAnsiTheme="minorEastAsia" w:eastAsiaTheme="minorEastAsia" w:cstheme="minorEastAsia"/>
                <w:bCs/>
              </w:rPr>
            </w:pPr>
            <w:r>
              <w:rPr>
                <w:rFonts w:hint="eastAsia" w:asciiTheme="minorEastAsia" w:hAnsiTheme="minorEastAsia" w:eastAsiaTheme="minorEastAsia" w:cstheme="minorEastAsia"/>
                <w:bCs/>
              </w:rPr>
              <w:t>专业</w:t>
            </w:r>
          </w:p>
        </w:tc>
        <w:tc>
          <w:tcPr>
            <w:tcW w:w="1701" w:type="dxa"/>
            <w:noWrap/>
            <w:vAlign w:val="center"/>
          </w:tcPr>
          <w:p>
            <w:pPr>
              <w:spacing w:line="560" w:lineRule="exact"/>
              <w:jc w:val="center"/>
              <w:rPr>
                <w:rFonts w:asciiTheme="minorEastAsia" w:hAnsiTheme="minorEastAsia" w:eastAsiaTheme="minorEastAsia" w:cstheme="minorEastAsia"/>
                <w:bCs/>
              </w:rPr>
            </w:pPr>
            <w:r>
              <w:rPr>
                <w:rFonts w:hint="eastAsia" w:asciiTheme="minorEastAsia" w:hAnsiTheme="minorEastAsia" w:eastAsiaTheme="minorEastAsia" w:cstheme="minorEastAsia"/>
                <w:bCs/>
              </w:rPr>
              <w:t>执业资格</w:t>
            </w:r>
          </w:p>
        </w:tc>
        <w:tc>
          <w:tcPr>
            <w:tcW w:w="1374" w:type="dxa"/>
            <w:noWrap/>
            <w:vAlign w:val="center"/>
          </w:tcPr>
          <w:p>
            <w:pPr>
              <w:spacing w:line="560" w:lineRule="exact"/>
              <w:jc w:val="center"/>
              <w:rPr>
                <w:rFonts w:asciiTheme="minorEastAsia" w:hAnsiTheme="minorEastAsia" w:eastAsiaTheme="minorEastAsia" w:cstheme="minorEastAsia"/>
                <w:bCs/>
              </w:rPr>
            </w:pPr>
            <w:r>
              <w:rPr>
                <w:rFonts w:hint="eastAsia" w:asciiTheme="minorEastAsia" w:hAnsiTheme="minorEastAsia" w:eastAsiaTheme="minorEastAsia" w:cstheme="minorEastAsia"/>
                <w:bCs/>
              </w:rPr>
              <w:t>证书编号</w:t>
            </w:r>
          </w:p>
        </w:tc>
        <w:tc>
          <w:tcPr>
            <w:tcW w:w="1426" w:type="dxa"/>
            <w:noWrap/>
            <w:vAlign w:val="center"/>
          </w:tcPr>
          <w:p>
            <w:pPr>
              <w:spacing w:line="560" w:lineRule="exact"/>
              <w:jc w:val="center"/>
              <w:rPr>
                <w:rFonts w:asciiTheme="minorEastAsia" w:hAnsiTheme="minorEastAsia" w:eastAsiaTheme="minorEastAsia" w:cstheme="minorEastAsia"/>
                <w:bCs/>
              </w:rPr>
            </w:pPr>
            <w:r>
              <w:rPr>
                <w:rFonts w:hint="eastAsia" w:asciiTheme="minorEastAsia" w:hAnsiTheme="minorEastAsia" w:eastAsiaTheme="minorEastAsia" w:cstheme="minorEastAsia"/>
                <w:bCs/>
              </w:rPr>
              <w:t>工作经验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101" w:type="dxa"/>
            <w:noWrap/>
            <w:vAlign w:val="center"/>
          </w:tcPr>
          <w:p>
            <w:pPr>
              <w:spacing w:line="560" w:lineRule="exact"/>
              <w:jc w:val="center"/>
              <w:rPr>
                <w:rFonts w:asciiTheme="minorEastAsia" w:hAnsiTheme="minorEastAsia" w:eastAsiaTheme="minorEastAsia" w:cstheme="minorEastAsia"/>
                <w:bCs/>
              </w:rPr>
            </w:pPr>
          </w:p>
        </w:tc>
        <w:tc>
          <w:tcPr>
            <w:tcW w:w="1275" w:type="dxa"/>
            <w:noWrap/>
            <w:vAlign w:val="center"/>
          </w:tcPr>
          <w:p>
            <w:pPr>
              <w:spacing w:line="560" w:lineRule="exact"/>
              <w:jc w:val="center"/>
              <w:rPr>
                <w:rFonts w:asciiTheme="minorEastAsia" w:hAnsiTheme="minorEastAsia" w:eastAsiaTheme="minorEastAsia" w:cstheme="minorEastAsia"/>
                <w:bCs/>
              </w:rPr>
            </w:pPr>
          </w:p>
        </w:tc>
        <w:tc>
          <w:tcPr>
            <w:tcW w:w="1276" w:type="dxa"/>
            <w:noWrap/>
            <w:vAlign w:val="center"/>
          </w:tcPr>
          <w:p>
            <w:pPr>
              <w:spacing w:line="560" w:lineRule="exact"/>
              <w:jc w:val="center"/>
              <w:rPr>
                <w:rFonts w:asciiTheme="minorEastAsia" w:hAnsiTheme="minorEastAsia" w:eastAsiaTheme="minorEastAsia" w:cstheme="minorEastAsia"/>
                <w:bCs/>
              </w:rPr>
            </w:pPr>
          </w:p>
        </w:tc>
        <w:tc>
          <w:tcPr>
            <w:tcW w:w="1134" w:type="dxa"/>
            <w:noWrap/>
            <w:vAlign w:val="center"/>
          </w:tcPr>
          <w:p>
            <w:pPr>
              <w:spacing w:line="560" w:lineRule="exact"/>
              <w:jc w:val="center"/>
              <w:rPr>
                <w:rFonts w:asciiTheme="minorEastAsia" w:hAnsiTheme="minorEastAsia" w:eastAsiaTheme="minorEastAsia" w:cstheme="minorEastAsia"/>
                <w:bCs/>
              </w:rPr>
            </w:pPr>
          </w:p>
        </w:tc>
        <w:tc>
          <w:tcPr>
            <w:tcW w:w="1701" w:type="dxa"/>
            <w:noWrap/>
            <w:vAlign w:val="center"/>
          </w:tcPr>
          <w:p>
            <w:pPr>
              <w:spacing w:line="560" w:lineRule="exact"/>
              <w:jc w:val="center"/>
              <w:rPr>
                <w:rFonts w:asciiTheme="minorEastAsia" w:hAnsiTheme="minorEastAsia" w:eastAsiaTheme="minorEastAsia" w:cstheme="minorEastAsia"/>
                <w:bCs/>
              </w:rPr>
            </w:pPr>
          </w:p>
        </w:tc>
        <w:tc>
          <w:tcPr>
            <w:tcW w:w="1374" w:type="dxa"/>
            <w:noWrap/>
            <w:vAlign w:val="center"/>
          </w:tcPr>
          <w:p>
            <w:pPr>
              <w:spacing w:line="560" w:lineRule="exact"/>
              <w:jc w:val="center"/>
              <w:rPr>
                <w:rFonts w:asciiTheme="minorEastAsia" w:hAnsiTheme="minorEastAsia" w:eastAsiaTheme="minorEastAsia" w:cstheme="minorEastAsia"/>
                <w:bCs/>
              </w:rPr>
            </w:pPr>
          </w:p>
        </w:tc>
        <w:tc>
          <w:tcPr>
            <w:tcW w:w="1426" w:type="dxa"/>
            <w:noWrap/>
            <w:vAlign w:val="center"/>
          </w:tcPr>
          <w:p>
            <w:pPr>
              <w:spacing w:line="560" w:lineRule="exact"/>
              <w:jc w:val="center"/>
              <w:rPr>
                <w:rFonts w:asciiTheme="minorEastAsia" w:hAnsiTheme="minorEastAsia" w:eastAsiaTheme="minorEastAsia" w:cstheme="minorEastAsia"/>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101" w:type="dxa"/>
            <w:noWrap/>
            <w:vAlign w:val="center"/>
          </w:tcPr>
          <w:p>
            <w:pPr>
              <w:spacing w:line="560" w:lineRule="exact"/>
              <w:jc w:val="center"/>
              <w:rPr>
                <w:rFonts w:asciiTheme="minorEastAsia" w:hAnsiTheme="minorEastAsia" w:eastAsiaTheme="minorEastAsia" w:cstheme="minorEastAsia"/>
                <w:bCs/>
              </w:rPr>
            </w:pPr>
          </w:p>
        </w:tc>
        <w:tc>
          <w:tcPr>
            <w:tcW w:w="1275" w:type="dxa"/>
            <w:noWrap/>
            <w:vAlign w:val="center"/>
          </w:tcPr>
          <w:p>
            <w:pPr>
              <w:spacing w:line="560" w:lineRule="exact"/>
              <w:jc w:val="center"/>
              <w:rPr>
                <w:rFonts w:asciiTheme="minorEastAsia" w:hAnsiTheme="minorEastAsia" w:eastAsiaTheme="minorEastAsia" w:cstheme="minorEastAsia"/>
                <w:bCs/>
              </w:rPr>
            </w:pPr>
          </w:p>
        </w:tc>
        <w:tc>
          <w:tcPr>
            <w:tcW w:w="1276" w:type="dxa"/>
            <w:noWrap/>
            <w:vAlign w:val="center"/>
          </w:tcPr>
          <w:p>
            <w:pPr>
              <w:spacing w:line="560" w:lineRule="exact"/>
              <w:jc w:val="center"/>
              <w:rPr>
                <w:rFonts w:asciiTheme="minorEastAsia" w:hAnsiTheme="minorEastAsia" w:eastAsiaTheme="minorEastAsia" w:cstheme="minorEastAsia"/>
                <w:bCs/>
              </w:rPr>
            </w:pPr>
          </w:p>
        </w:tc>
        <w:tc>
          <w:tcPr>
            <w:tcW w:w="1134" w:type="dxa"/>
            <w:noWrap/>
            <w:vAlign w:val="center"/>
          </w:tcPr>
          <w:p>
            <w:pPr>
              <w:spacing w:line="560" w:lineRule="exact"/>
              <w:jc w:val="center"/>
              <w:rPr>
                <w:rFonts w:asciiTheme="minorEastAsia" w:hAnsiTheme="minorEastAsia" w:eastAsiaTheme="minorEastAsia" w:cstheme="minorEastAsia"/>
                <w:bCs/>
              </w:rPr>
            </w:pPr>
          </w:p>
        </w:tc>
        <w:tc>
          <w:tcPr>
            <w:tcW w:w="1701" w:type="dxa"/>
            <w:noWrap/>
            <w:vAlign w:val="center"/>
          </w:tcPr>
          <w:p>
            <w:pPr>
              <w:spacing w:line="560" w:lineRule="exact"/>
              <w:jc w:val="center"/>
              <w:rPr>
                <w:rFonts w:asciiTheme="minorEastAsia" w:hAnsiTheme="minorEastAsia" w:eastAsiaTheme="minorEastAsia" w:cstheme="minorEastAsia"/>
                <w:bCs/>
              </w:rPr>
            </w:pPr>
          </w:p>
        </w:tc>
        <w:tc>
          <w:tcPr>
            <w:tcW w:w="1374" w:type="dxa"/>
            <w:noWrap/>
            <w:vAlign w:val="center"/>
          </w:tcPr>
          <w:p>
            <w:pPr>
              <w:spacing w:line="560" w:lineRule="exact"/>
              <w:jc w:val="center"/>
              <w:rPr>
                <w:rFonts w:asciiTheme="minorEastAsia" w:hAnsiTheme="minorEastAsia" w:eastAsiaTheme="minorEastAsia" w:cstheme="minorEastAsia"/>
                <w:bCs/>
              </w:rPr>
            </w:pPr>
          </w:p>
        </w:tc>
        <w:tc>
          <w:tcPr>
            <w:tcW w:w="1426" w:type="dxa"/>
            <w:noWrap/>
            <w:vAlign w:val="center"/>
          </w:tcPr>
          <w:p>
            <w:pPr>
              <w:spacing w:line="560" w:lineRule="exact"/>
              <w:jc w:val="center"/>
              <w:rPr>
                <w:rFonts w:asciiTheme="minorEastAsia" w:hAnsiTheme="minorEastAsia" w:eastAsiaTheme="minorEastAsia" w:cstheme="minorEastAsia"/>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101" w:type="dxa"/>
            <w:noWrap/>
            <w:vAlign w:val="center"/>
          </w:tcPr>
          <w:p>
            <w:pPr>
              <w:spacing w:line="560" w:lineRule="exact"/>
              <w:jc w:val="center"/>
              <w:rPr>
                <w:rFonts w:asciiTheme="minorEastAsia" w:hAnsiTheme="minorEastAsia" w:eastAsiaTheme="minorEastAsia" w:cstheme="minorEastAsia"/>
                <w:bCs/>
              </w:rPr>
            </w:pPr>
          </w:p>
        </w:tc>
        <w:tc>
          <w:tcPr>
            <w:tcW w:w="1275" w:type="dxa"/>
            <w:noWrap/>
            <w:vAlign w:val="center"/>
          </w:tcPr>
          <w:p>
            <w:pPr>
              <w:spacing w:line="560" w:lineRule="exact"/>
              <w:jc w:val="center"/>
              <w:rPr>
                <w:rFonts w:asciiTheme="minorEastAsia" w:hAnsiTheme="minorEastAsia" w:eastAsiaTheme="minorEastAsia" w:cstheme="minorEastAsia"/>
                <w:bCs/>
              </w:rPr>
            </w:pPr>
          </w:p>
        </w:tc>
        <w:tc>
          <w:tcPr>
            <w:tcW w:w="1276" w:type="dxa"/>
            <w:noWrap/>
            <w:vAlign w:val="center"/>
          </w:tcPr>
          <w:p>
            <w:pPr>
              <w:spacing w:line="560" w:lineRule="exact"/>
              <w:jc w:val="center"/>
              <w:rPr>
                <w:rFonts w:asciiTheme="minorEastAsia" w:hAnsiTheme="minorEastAsia" w:eastAsiaTheme="minorEastAsia" w:cstheme="minorEastAsia"/>
                <w:bCs/>
              </w:rPr>
            </w:pPr>
          </w:p>
        </w:tc>
        <w:tc>
          <w:tcPr>
            <w:tcW w:w="1134" w:type="dxa"/>
            <w:noWrap/>
            <w:vAlign w:val="center"/>
          </w:tcPr>
          <w:p>
            <w:pPr>
              <w:spacing w:line="560" w:lineRule="exact"/>
              <w:jc w:val="center"/>
              <w:rPr>
                <w:rFonts w:asciiTheme="minorEastAsia" w:hAnsiTheme="minorEastAsia" w:eastAsiaTheme="minorEastAsia" w:cstheme="minorEastAsia"/>
                <w:bCs/>
              </w:rPr>
            </w:pPr>
          </w:p>
        </w:tc>
        <w:tc>
          <w:tcPr>
            <w:tcW w:w="1701" w:type="dxa"/>
            <w:noWrap/>
            <w:vAlign w:val="center"/>
          </w:tcPr>
          <w:p>
            <w:pPr>
              <w:spacing w:line="560" w:lineRule="exact"/>
              <w:jc w:val="center"/>
              <w:rPr>
                <w:rFonts w:asciiTheme="minorEastAsia" w:hAnsiTheme="minorEastAsia" w:eastAsiaTheme="minorEastAsia" w:cstheme="minorEastAsia"/>
                <w:bCs/>
              </w:rPr>
            </w:pPr>
          </w:p>
        </w:tc>
        <w:tc>
          <w:tcPr>
            <w:tcW w:w="1374" w:type="dxa"/>
            <w:noWrap/>
            <w:vAlign w:val="center"/>
          </w:tcPr>
          <w:p>
            <w:pPr>
              <w:spacing w:line="560" w:lineRule="exact"/>
              <w:jc w:val="center"/>
              <w:rPr>
                <w:rFonts w:asciiTheme="minorEastAsia" w:hAnsiTheme="minorEastAsia" w:eastAsiaTheme="minorEastAsia" w:cstheme="minorEastAsia"/>
                <w:bCs/>
              </w:rPr>
            </w:pPr>
          </w:p>
        </w:tc>
        <w:tc>
          <w:tcPr>
            <w:tcW w:w="1426" w:type="dxa"/>
            <w:noWrap/>
            <w:vAlign w:val="center"/>
          </w:tcPr>
          <w:p>
            <w:pPr>
              <w:spacing w:line="560" w:lineRule="exact"/>
              <w:jc w:val="center"/>
              <w:rPr>
                <w:rFonts w:asciiTheme="minorEastAsia" w:hAnsiTheme="minorEastAsia" w:eastAsiaTheme="minorEastAsia" w:cstheme="minorEastAsia"/>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101" w:type="dxa"/>
            <w:noWrap/>
            <w:vAlign w:val="center"/>
          </w:tcPr>
          <w:p>
            <w:pPr>
              <w:spacing w:line="560" w:lineRule="exact"/>
              <w:jc w:val="center"/>
              <w:rPr>
                <w:rFonts w:asciiTheme="minorEastAsia" w:hAnsiTheme="minorEastAsia" w:eastAsiaTheme="minorEastAsia" w:cstheme="minorEastAsia"/>
                <w:bCs/>
              </w:rPr>
            </w:pPr>
          </w:p>
        </w:tc>
        <w:tc>
          <w:tcPr>
            <w:tcW w:w="1275" w:type="dxa"/>
            <w:noWrap/>
            <w:vAlign w:val="center"/>
          </w:tcPr>
          <w:p>
            <w:pPr>
              <w:spacing w:line="560" w:lineRule="exact"/>
              <w:jc w:val="center"/>
              <w:rPr>
                <w:rFonts w:asciiTheme="minorEastAsia" w:hAnsiTheme="minorEastAsia" w:eastAsiaTheme="minorEastAsia" w:cstheme="minorEastAsia"/>
                <w:bCs/>
              </w:rPr>
            </w:pPr>
          </w:p>
        </w:tc>
        <w:tc>
          <w:tcPr>
            <w:tcW w:w="1276" w:type="dxa"/>
            <w:noWrap/>
            <w:vAlign w:val="center"/>
          </w:tcPr>
          <w:p>
            <w:pPr>
              <w:spacing w:line="560" w:lineRule="exact"/>
              <w:jc w:val="center"/>
              <w:rPr>
                <w:rFonts w:asciiTheme="minorEastAsia" w:hAnsiTheme="minorEastAsia" w:eastAsiaTheme="minorEastAsia" w:cstheme="minorEastAsia"/>
                <w:bCs/>
              </w:rPr>
            </w:pPr>
          </w:p>
        </w:tc>
        <w:tc>
          <w:tcPr>
            <w:tcW w:w="1134" w:type="dxa"/>
            <w:noWrap/>
            <w:vAlign w:val="center"/>
          </w:tcPr>
          <w:p>
            <w:pPr>
              <w:spacing w:line="560" w:lineRule="exact"/>
              <w:jc w:val="center"/>
              <w:rPr>
                <w:rFonts w:asciiTheme="minorEastAsia" w:hAnsiTheme="minorEastAsia" w:eastAsiaTheme="minorEastAsia" w:cstheme="minorEastAsia"/>
                <w:bCs/>
              </w:rPr>
            </w:pPr>
          </w:p>
        </w:tc>
        <w:tc>
          <w:tcPr>
            <w:tcW w:w="1701" w:type="dxa"/>
            <w:noWrap/>
            <w:vAlign w:val="center"/>
          </w:tcPr>
          <w:p>
            <w:pPr>
              <w:spacing w:line="560" w:lineRule="exact"/>
              <w:jc w:val="center"/>
              <w:rPr>
                <w:rFonts w:asciiTheme="minorEastAsia" w:hAnsiTheme="minorEastAsia" w:eastAsiaTheme="minorEastAsia" w:cstheme="minorEastAsia"/>
                <w:bCs/>
              </w:rPr>
            </w:pPr>
          </w:p>
        </w:tc>
        <w:tc>
          <w:tcPr>
            <w:tcW w:w="1374" w:type="dxa"/>
            <w:noWrap/>
            <w:vAlign w:val="center"/>
          </w:tcPr>
          <w:p>
            <w:pPr>
              <w:spacing w:line="560" w:lineRule="exact"/>
              <w:jc w:val="center"/>
              <w:rPr>
                <w:rFonts w:asciiTheme="minorEastAsia" w:hAnsiTheme="minorEastAsia" w:eastAsiaTheme="minorEastAsia" w:cstheme="minorEastAsia"/>
                <w:bCs/>
              </w:rPr>
            </w:pPr>
          </w:p>
        </w:tc>
        <w:tc>
          <w:tcPr>
            <w:tcW w:w="1426" w:type="dxa"/>
            <w:noWrap/>
            <w:vAlign w:val="center"/>
          </w:tcPr>
          <w:p>
            <w:pPr>
              <w:spacing w:line="560" w:lineRule="exact"/>
              <w:jc w:val="center"/>
              <w:rPr>
                <w:rFonts w:asciiTheme="minorEastAsia" w:hAnsiTheme="minorEastAsia" w:eastAsiaTheme="minorEastAsia" w:cstheme="minorEastAsia"/>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101" w:type="dxa"/>
            <w:noWrap/>
            <w:vAlign w:val="center"/>
          </w:tcPr>
          <w:p>
            <w:pPr>
              <w:spacing w:line="560" w:lineRule="exact"/>
              <w:jc w:val="center"/>
              <w:rPr>
                <w:rFonts w:asciiTheme="minorEastAsia" w:hAnsiTheme="minorEastAsia" w:eastAsiaTheme="minorEastAsia" w:cstheme="minorEastAsia"/>
                <w:bCs/>
              </w:rPr>
            </w:pPr>
          </w:p>
        </w:tc>
        <w:tc>
          <w:tcPr>
            <w:tcW w:w="1275" w:type="dxa"/>
            <w:noWrap/>
            <w:vAlign w:val="center"/>
          </w:tcPr>
          <w:p>
            <w:pPr>
              <w:spacing w:line="560" w:lineRule="exact"/>
              <w:jc w:val="center"/>
              <w:rPr>
                <w:rFonts w:asciiTheme="minorEastAsia" w:hAnsiTheme="minorEastAsia" w:eastAsiaTheme="minorEastAsia" w:cstheme="minorEastAsia"/>
                <w:bCs/>
              </w:rPr>
            </w:pPr>
          </w:p>
        </w:tc>
        <w:tc>
          <w:tcPr>
            <w:tcW w:w="1276" w:type="dxa"/>
            <w:noWrap/>
            <w:vAlign w:val="center"/>
          </w:tcPr>
          <w:p>
            <w:pPr>
              <w:spacing w:line="560" w:lineRule="exact"/>
              <w:jc w:val="center"/>
              <w:rPr>
                <w:rFonts w:asciiTheme="minorEastAsia" w:hAnsiTheme="minorEastAsia" w:eastAsiaTheme="minorEastAsia" w:cstheme="minorEastAsia"/>
                <w:bCs/>
              </w:rPr>
            </w:pPr>
          </w:p>
        </w:tc>
        <w:tc>
          <w:tcPr>
            <w:tcW w:w="1134" w:type="dxa"/>
            <w:noWrap/>
            <w:vAlign w:val="center"/>
          </w:tcPr>
          <w:p>
            <w:pPr>
              <w:spacing w:line="560" w:lineRule="exact"/>
              <w:jc w:val="center"/>
              <w:rPr>
                <w:rFonts w:asciiTheme="minorEastAsia" w:hAnsiTheme="minorEastAsia" w:eastAsiaTheme="minorEastAsia" w:cstheme="minorEastAsia"/>
                <w:bCs/>
              </w:rPr>
            </w:pPr>
          </w:p>
        </w:tc>
        <w:tc>
          <w:tcPr>
            <w:tcW w:w="1701" w:type="dxa"/>
            <w:noWrap/>
            <w:vAlign w:val="center"/>
          </w:tcPr>
          <w:p>
            <w:pPr>
              <w:spacing w:line="560" w:lineRule="exact"/>
              <w:jc w:val="center"/>
              <w:rPr>
                <w:rFonts w:asciiTheme="minorEastAsia" w:hAnsiTheme="minorEastAsia" w:eastAsiaTheme="minorEastAsia" w:cstheme="minorEastAsia"/>
                <w:bCs/>
              </w:rPr>
            </w:pPr>
          </w:p>
        </w:tc>
        <w:tc>
          <w:tcPr>
            <w:tcW w:w="1374" w:type="dxa"/>
            <w:noWrap/>
            <w:vAlign w:val="center"/>
          </w:tcPr>
          <w:p>
            <w:pPr>
              <w:spacing w:line="560" w:lineRule="exact"/>
              <w:jc w:val="center"/>
              <w:rPr>
                <w:rFonts w:asciiTheme="minorEastAsia" w:hAnsiTheme="minorEastAsia" w:eastAsiaTheme="minorEastAsia" w:cstheme="minorEastAsia"/>
                <w:bCs/>
              </w:rPr>
            </w:pPr>
          </w:p>
        </w:tc>
        <w:tc>
          <w:tcPr>
            <w:tcW w:w="1426" w:type="dxa"/>
            <w:noWrap/>
            <w:vAlign w:val="center"/>
          </w:tcPr>
          <w:p>
            <w:pPr>
              <w:spacing w:line="560" w:lineRule="exact"/>
              <w:jc w:val="center"/>
              <w:rPr>
                <w:rFonts w:asciiTheme="minorEastAsia" w:hAnsiTheme="minorEastAsia" w:eastAsiaTheme="minorEastAsia" w:cstheme="minorEastAsia"/>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101" w:type="dxa"/>
            <w:noWrap/>
            <w:vAlign w:val="center"/>
          </w:tcPr>
          <w:p>
            <w:pPr>
              <w:spacing w:line="560" w:lineRule="exact"/>
              <w:jc w:val="center"/>
              <w:rPr>
                <w:rFonts w:asciiTheme="minorEastAsia" w:hAnsiTheme="minorEastAsia" w:eastAsiaTheme="minorEastAsia" w:cstheme="minorEastAsia"/>
                <w:bCs/>
              </w:rPr>
            </w:pPr>
          </w:p>
        </w:tc>
        <w:tc>
          <w:tcPr>
            <w:tcW w:w="1275" w:type="dxa"/>
            <w:noWrap/>
            <w:vAlign w:val="center"/>
          </w:tcPr>
          <w:p>
            <w:pPr>
              <w:spacing w:line="560" w:lineRule="exact"/>
              <w:jc w:val="center"/>
              <w:rPr>
                <w:rFonts w:asciiTheme="minorEastAsia" w:hAnsiTheme="minorEastAsia" w:eastAsiaTheme="minorEastAsia" w:cstheme="minorEastAsia"/>
                <w:bCs/>
              </w:rPr>
            </w:pPr>
          </w:p>
        </w:tc>
        <w:tc>
          <w:tcPr>
            <w:tcW w:w="1276" w:type="dxa"/>
            <w:noWrap/>
            <w:vAlign w:val="center"/>
          </w:tcPr>
          <w:p>
            <w:pPr>
              <w:spacing w:line="560" w:lineRule="exact"/>
              <w:jc w:val="center"/>
              <w:rPr>
                <w:rFonts w:asciiTheme="minorEastAsia" w:hAnsiTheme="minorEastAsia" w:eastAsiaTheme="minorEastAsia" w:cstheme="minorEastAsia"/>
                <w:bCs/>
              </w:rPr>
            </w:pPr>
          </w:p>
        </w:tc>
        <w:tc>
          <w:tcPr>
            <w:tcW w:w="1134" w:type="dxa"/>
            <w:noWrap/>
            <w:vAlign w:val="center"/>
          </w:tcPr>
          <w:p>
            <w:pPr>
              <w:spacing w:line="560" w:lineRule="exact"/>
              <w:jc w:val="center"/>
              <w:rPr>
                <w:rFonts w:asciiTheme="minorEastAsia" w:hAnsiTheme="minorEastAsia" w:eastAsiaTheme="minorEastAsia" w:cstheme="minorEastAsia"/>
                <w:bCs/>
              </w:rPr>
            </w:pPr>
          </w:p>
        </w:tc>
        <w:tc>
          <w:tcPr>
            <w:tcW w:w="1701" w:type="dxa"/>
            <w:noWrap/>
            <w:vAlign w:val="center"/>
          </w:tcPr>
          <w:p>
            <w:pPr>
              <w:spacing w:line="560" w:lineRule="exact"/>
              <w:jc w:val="center"/>
              <w:rPr>
                <w:rFonts w:asciiTheme="minorEastAsia" w:hAnsiTheme="minorEastAsia" w:eastAsiaTheme="minorEastAsia" w:cstheme="minorEastAsia"/>
                <w:bCs/>
              </w:rPr>
            </w:pPr>
          </w:p>
        </w:tc>
        <w:tc>
          <w:tcPr>
            <w:tcW w:w="1374" w:type="dxa"/>
            <w:noWrap/>
            <w:vAlign w:val="center"/>
          </w:tcPr>
          <w:p>
            <w:pPr>
              <w:spacing w:line="560" w:lineRule="exact"/>
              <w:jc w:val="center"/>
              <w:rPr>
                <w:rFonts w:asciiTheme="minorEastAsia" w:hAnsiTheme="minorEastAsia" w:eastAsiaTheme="minorEastAsia" w:cstheme="minorEastAsia"/>
                <w:bCs/>
              </w:rPr>
            </w:pPr>
          </w:p>
        </w:tc>
        <w:tc>
          <w:tcPr>
            <w:tcW w:w="1426" w:type="dxa"/>
            <w:noWrap/>
            <w:vAlign w:val="center"/>
          </w:tcPr>
          <w:p>
            <w:pPr>
              <w:spacing w:line="560" w:lineRule="exact"/>
              <w:jc w:val="center"/>
              <w:rPr>
                <w:rFonts w:asciiTheme="minorEastAsia" w:hAnsiTheme="minorEastAsia" w:eastAsiaTheme="minorEastAsia" w:cstheme="minorEastAsia"/>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101" w:type="dxa"/>
            <w:noWrap/>
            <w:vAlign w:val="center"/>
          </w:tcPr>
          <w:p>
            <w:pPr>
              <w:spacing w:line="560" w:lineRule="exact"/>
              <w:jc w:val="center"/>
              <w:rPr>
                <w:rFonts w:asciiTheme="minorEastAsia" w:hAnsiTheme="minorEastAsia" w:eastAsiaTheme="minorEastAsia" w:cstheme="minorEastAsia"/>
                <w:bCs/>
              </w:rPr>
            </w:pPr>
          </w:p>
        </w:tc>
        <w:tc>
          <w:tcPr>
            <w:tcW w:w="1275" w:type="dxa"/>
            <w:noWrap/>
            <w:vAlign w:val="center"/>
          </w:tcPr>
          <w:p>
            <w:pPr>
              <w:spacing w:line="560" w:lineRule="exact"/>
              <w:jc w:val="center"/>
              <w:rPr>
                <w:rFonts w:asciiTheme="minorEastAsia" w:hAnsiTheme="minorEastAsia" w:eastAsiaTheme="minorEastAsia" w:cstheme="minorEastAsia"/>
                <w:bCs/>
              </w:rPr>
            </w:pPr>
          </w:p>
        </w:tc>
        <w:tc>
          <w:tcPr>
            <w:tcW w:w="1276" w:type="dxa"/>
            <w:noWrap/>
            <w:vAlign w:val="center"/>
          </w:tcPr>
          <w:p>
            <w:pPr>
              <w:spacing w:line="560" w:lineRule="exact"/>
              <w:jc w:val="center"/>
              <w:rPr>
                <w:rFonts w:asciiTheme="minorEastAsia" w:hAnsiTheme="minorEastAsia" w:eastAsiaTheme="minorEastAsia" w:cstheme="minorEastAsia"/>
                <w:bCs/>
              </w:rPr>
            </w:pPr>
          </w:p>
        </w:tc>
        <w:tc>
          <w:tcPr>
            <w:tcW w:w="1134" w:type="dxa"/>
            <w:noWrap/>
            <w:vAlign w:val="center"/>
          </w:tcPr>
          <w:p>
            <w:pPr>
              <w:spacing w:line="560" w:lineRule="exact"/>
              <w:jc w:val="center"/>
              <w:rPr>
                <w:rFonts w:asciiTheme="minorEastAsia" w:hAnsiTheme="minorEastAsia" w:eastAsiaTheme="minorEastAsia" w:cstheme="minorEastAsia"/>
                <w:bCs/>
              </w:rPr>
            </w:pPr>
          </w:p>
        </w:tc>
        <w:tc>
          <w:tcPr>
            <w:tcW w:w="1701" w:type="dxa"/>
            <w:noWrap/>
            <w:vAlign w:val="center"/>
          </w:tcPr>
          <w:p>
            <w:pPr>
              <w:spacing w:line="560" w:lineRule="exact"/>
              <w:jc w:val="center"/>
              <w:rPr>
                <w:rFonts w:asciiTheme="minorEastAsia" w:hAnsiTheme="minorEastAsia" w:eastAsiaTheme="minorEastAsia" w:cstheme="minorEastAsia"/>
                <w:bCs/>
              </w:rPr>
            </w:pPr>
          </w:p>
        </w:tc>
        <w:tc>
          <w:tcPr>
            <w:tcW w:w="1374" w:type="dxa"/>
            <w:noWrap/>
            <w:vAlign w:val="center"/>
          </w:tcPr>
          <w:p>
            <w:pPr>
              <w:spacing w:line="560" w:lineRule="exact"/>
              <w:jc w:val="center"/>
              <w:rPr>
                <w:rFonts w:asciiTheme="minorEastAsia" w:hAnsiTheme="minorEastAsia" w:eastAsiaTheme="minorEastAsia" w:cstheme="minorEastAsia"/>
                <w:bCs/>
              </w:rPr>
            </w:pPr>
          </w:p>
        </w:tc>
        <w:tc>
          <w:tcPr>
            <w:tcW w:w="1426" w:type="dxa"/>
            <w:noWrap/>
            <w:vAlign w:val="center"/>
          </w:tcPr>
          <w:p>
            <w:pPr>
              <w:spacing w:line="560" w:lineRule="exact"/>
              <w:jc w:val="center"/>
              <w:rPr>
                <w:rFonts w:asciiTheme="minorEastAsia" w:hAnsiTheme="minorEastAsia" w:eastAsiaTheme="minorEastAsia" w:cstheme="minorEastAsia"/>
                <w:bCs/>
              </w:rPr>
            </w:pPr>
          </w:p>
        </w:tc>
      </w:tr>
    </w:tbl>
    <w:p>
      <w:pPr>
        <w:spacing w:line="560" w:lineRule="exact"/>
        <w:rPr>
          <w:rFonts w:asciiTheme="minorEastAsia" w:hAnsiTheme="minorEastAsia" w:eastAsiaTheme="minorEastAsia" w:cstheme="minorEastAsia"/>
          <w:bCs/>
        </w:rPr>
      </w:pPr>
    </w:p>
    <w:p>
      <w:pPr>
        <w:wordWrap w:val="0"/>
        <w:autoSpaceDE w:val="0"/>
        <w:autoSpaceDN w:val="0"/>
        <w:adjustRightInd w:val="0"/>
        <w:spacing w:line="480" w:lineRule="auto"/>
        <w:ind w:right="-58" w:firstLine="420" w:firstLineChars="20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lang w:val="zh-CN"/>
        </w:rPr>
        <w:t xml:space="preserve"> 投标人（盖单位电子签章）:</w:t>
      </w:r>
    </w:p>
    <w:p>
      <w:pPr>
        <w:wordWrap w:val="0"/>
        <w:autoSpaceDE w:val="0"/>
        <w:autoSpaceDN w:val="0"/>
        <w:adjustRightInd w:val="0"/>
        <w:spacing w:line="480" w:lineRule="auto"/>
        <w:ind w:right="651" w:firstLine="2625" w:firstLineChars="1250"/>
        <w:rPr>
          <w:rFonts w:asciiTheme="minorEastAsia" w:hAnsiTheme="minorEastAsia" w:eastAsiaTheme="minorEastAsia" w:cstheme="minorEastAsia"/>
          <w:bCs/>
          <w:szCs w:val="21"/>
          <w:u w:val="single"/>
          <w:lang w:val="zh-CN"/>
        </w:rPr>
      </w:pPr>
      <w:r>
        <w:rPr>
          <w:rFonts w:hint="eastAsia" w:asciiTheme="minorEastAsia" w:hAnsiTheme="minorEastAsia" w:eastAsiaTheme="minorEastAsia" w:cstheme="minorEastAsia"/>
          <w:kern w:val="0"/>
          <w:szCs w:val="21"/>
        </w:rPr>
        <w:t>法定代表人</w:t>
      </w:r>
      <w:r>
        <w:rPr>
          <w:rFonts w:hint="eastAsia" w:asciiTheme="minorEastAsia" w:hAnsiTheme="minorEastAsia" w:eastAsiaTheme="minorEastAsia" w:cstheme="minorEastAsia"/>
          <w:bCs/>
          <w:szCs w:val="21"/>
          <w:lang w:val="zh-CN"/>
        </w:rPr>
        <w:t>（</w:t>
      </w:r>
      <w:r>
        <w:rPr>
          <w:rFonts w:hint="eastAsia" w:asciiTheme="minorEastAsia" w:hAnsiTheme="minorEastAsia" w:eastAsiaTheme="minorEastAsia" w:cstheme="minorEastAsia"/>
          <w:kern w:val="0"/>
          <w:szCs w:val="21"/>
        </w:rPr>
        <w:t>盖个人电子签章</w:t>
      </w:r>
      <w:r>
        <w:rPr>
          <w:rFonts w:hint="eastAsia" w:asciiTheme="minorEastAsia" w:hAnsiTheme="minorEastAsia" w:eastAsiaTheme="minorEastAsia" w:cstheme="minorEastAsia"/>
          <w:bCs/>
          <w:szCs w:val="21"/>
          <w:lang w:val="zh-CN"/>
        </w:rPr>
        <w:t>）</w:t>
      </w:r>
      <w:r>
        <w:rPr>
          <w:rFonts w:hint="eastAsia" w:asciiTheme="minorEastAsia" w:hAnsiTheme="minorEastAsia" w:eastAsiaTheme="minorEastAsia" w:cstheme="minorEastAsia"/>
          <w:kern w:val="0"/>
          <w:szCs w:val="21"/>
        </w:rPr>
        <w:t>：</w:t>
      </w:r>
    </w:p>
    <w:p>
      <w:pPr>
        <w:wordWrap w:val="0"/>
        <w:spacing w:line="480" w:lineRule="auto"/>
        <w:ind w:right="113" w:firstLine="2599" w:firstLineChars="1150"/>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8"/>
          <w:szCs w:val="21"/>
        </w:rPr>
        <w:t>日期：</w:t>
      </w:r>
      <w:r>
        <w:rPr>
          <w:rFonts w:hint="eastAsia" w:asciiTheme="minorEastAsia" w:hAnsiTheme="minorEastAsia" w:eastAsiaTheme="minorEastAsia" w:cstheme="minorEastAsia"/>
          <w:szCs w:val="21"/>
        </w:rPr>
        <w:t>年月日</w:t>
      </w:r>
    </w:p>
    <w:p>
      <w:pPr>
        <w:tabs>
          <w:tab w:val="left" w:pos="8782"/>
        </w:tabs>
        <w:snapToGrid w:val="0"/>
        <w:ind w:left="453" w:leftChars="50" w:right="-38" w:hanging="348" w:hangingChars="166"/>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注：后附相关证明材料</w:t>
      </w:r>
    </w:p>
    <w:p>
      <w:pPr>
        <w:wordWrap w:val="0"/>
        <w:spacing w:line="480" w:lineRule="auto"/>
        <w:ind w:right="113" w:firstLine="2640" w:firstLineChars="1100"/>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pacing w:val="8"/>
        </w:rPr>
      </w:pPr>
      <w:r>
        <w:rPr>
          <w:rFonts w:hint="eastAsia" w:asciiTheme="minorEastAsia" w:hAnsiTheme="minorEastAsia" w:eastAsiaTheme="minorEastAsia" w:cstheme="minorEastAsia"/>
        </w:rPr>
        <w:br w:type="page"/>
      </w:r>
      <w:r>
        <w:rPr>
          <w:rFonts w:hint="eastAsia" w:asciiTheme="minorEastAsia" w:hAnsiTheme="minorEastAsia" w:eastAsiaTheme="minorEastAsia" w:cstheme="minorEastAsia"/>
          <w:b/>
          <w:sz w:val="24"/>
        </w:rPr>
        <w:t>8.2业绩</w:t>
      </w:r>
    </w:p>
    <w:p>
      <w:pPr>
        <w:wordWrap w:val="0"/>
        <w:autoSpaceDE w:val="0"/>
        <w:autoSpaceDN w:val="0"/>
        <w:adjustRightInd w:val="0"/>
        <w:spacing w:line="360" w:lineRule="auto"/>
        <w:ind w:right="1080" w:firstLine="643" w:firstLineChars="200"/>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业绩情况表</w:t>
      </w:r>
    </w:p>
    <w:tbl>
      <w:tblPr>
        <w:tblStyle w:val="29"/>
        <w:tblW w:w="0" w:type="auto"/>
        <w:tblInd w:w="54"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679"/>
        <w:gridCol w:w="1357"/>
        <w:gridCol w:w="1244"/>
        <w:gridCol w:w="1188"/>
        <w:gridCol w:w="8"/>
        <w:gridCol w:w="1481"/>
        <w:gridCol w:w="1530"/>
        <w:gridCol w:w="1585"/>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93" w:hRule="atLeast"/>
        </w:trPr>
        <w:tc>
          <w:tcPr>
            <w:tcW w:w="679" w:type="dxa"/>
            <w:tcBorders>
              <w:top w:val="single" w:color="auto" w:sz="4" w:space="0"/>
              <w:left w:val="single" w:color="auto" w:sz="4" w:space="0"/>
              <w:bottom w:val="single" w:color="auto" w:sz="6" w:space="0"/>
              <w:right w:val="single" w:color="auto" w:sz="6" w:space="0"/>
            </w:tcBorders>
            <w:noWrap/>
            <w:vAlign w:val="center"/>
          </w:tcPr>
          <w:p>
            <w:pPr>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1357" w:type="dxa"/>
            <w:tcBorders>
              <w:top w:val="single" w:color="auto" w:sz="4" w:space="0"/>
              <w:left w:val="single" w:color="auto" w:sz="6" w:space="0"/>
              <w:bottom w:val="single" w:color="auto" w:sz="6" w:space="0"/>
              <w:right w:val="single" w:color="auto" w:sz="6" w:space="0"/>
            </w:tcBorders>
            <w:noWrap/>
            <w:vAlign w:val="center"/>
          </w:tcPr>
          <w:p>
            <w:pPr>
              <w:spacing w:line="40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项目名称</w:t>
            </w:r>
          </w:p>
        </w:tc>
        <w:tc>
          <w:tcPr>
            <w:tcW w:w="1244" w:type="dxa"/>
            <w:tcBorders>
              <w:top w:val="single" w:color="auto" w:sz="4" w:space="0"/>
              <w:left w:val="single" w:color="auto" w:sz="6" w:space="0"/>
              <w:bottom w:val="single" w:color="auto" w:sz="6" w:space="0"/>
              <w:right w:val="single" w:color="auto" w:sz="6" w:space="0"/>
            </w:tcBorders>
            <w:noWrap/>
            <w:vAlign w:val="center"/>
          </w:tcPr>
          <w:p>
            <w:pPr>
              <w:spacing w:line="40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用户名称</w:t>
            </w:r>
          </w:p>
        </w:tc>
        <w:tc>
          <w:tcPr>
            <w:tcW w:w="1188" w:type="dxa"/>
            <w:tcBorders>
              <w:top w:val="single" w:color="auto" w:sz="4" w:space="0"/>
              <w:left w:val="single" w:color="auto" w:sz="6" w:space="0"/>
              <w:bottom w:val="single" w:color="auto" w:sz="6" w:space="0"/>
              <w:right w:val="single" w:color="auto" w:sz="6" w:space="0"/>
            </w:tcBorders>
            <w:noWrap/>
            <w:vAlign w:val="center"/>
          </w:tcPr>
          <w:p>
            <w:pPr>
              <w:spacing w:line="400" w:lineRule="exact"/>
              <w:ind w:firstLine="120" w:firstLineChars="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合同金额</w:t>
            </w:r>
          </w:p>
        </w:tc>
        <w:tc>
          <w:tcPr>
            <w:tcW w:w="1489" w:type="dxa"/>
            <w:gridSpan w:val="2"/>
            <w:tcBorders>
              <w:top w:val="single" w:color="auto" w:sz="4" w:space="0"/>
              <w:left w:val="single" w:color="auto" w:sz="6" w:space="0"/>
              <w:bottom w:val="single" w:color="auto" w:sz="6" w:space="0"/>
              <w:right w:val="single" w:color="auto" w:sz="4" w:space="0"/>
            </w:tcBorders>
            <w:noWrap/>
            <w:vAlign w:val="center"/>
          </w:tcPr>
          <w:p>
            <w:pPr>
              <w:spacing w:line="240" w:lineRule="atLeas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完成</w:t>
            </w:r>
          </w:p>
          <w:p>
            <w:pPr>
              <w:spacing w:line="240" w:lineRule="atLeas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项目质量</w:t>
            </w:r>
          </w:p>
        </w:tc>
        <w:tc>
          <w:tcPr>
            <w:tcW w:w="1530" w:type="dxa"/>
            <w:tcBorders>
              <w:top w:val="single" w:color="auto" w:sz="4" w:space="0"/>
              <w:left w:val="single" w:color="auto" w:sz="4" w:space="0"/>
              <w:bottom w:val="single" w:color="auto" w:sz="6" w:space="0"/>
              <w:right w:val="single" w:color="auto" w:sz="6" w:space="0"/>
            </w:tcBorders>
            <w:noWrap/>
            <w:vAlign w:val="center"/>
          </w:tcPr>
          <w:p>
            <w:pPr>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完成日期</w:t>
            </w:r>
          </w:p>
        </w:tc>
        <w:tc>
          <w:tcPr>
            <w:tcW w:w="1585" w:type="dxa"/>
            <w:tcBorders>
              <w:top w:val="single" w:color="auto" w:sz="4" w:space="0"/>
              <w:left w:val="single" w:color="auto" w:sz="4" w:space="0"/>
              <w:bottom w:val="single" w:color="auto" w:sz="6" w:space="0"/>
              <w:right w:val="single" w:color="auto" w:sz="4" w:space="0"/>
            </w:tcBorders>
            <w:noWrap/>
            <w:vAlign w:val="center"/>
          </w:tcPr>
          <w:p>
            <w:pPr>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联系人及电话</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94" w:hRule="atLeast"/>
        </w:trPr>
        <w:tc>
          <w:tcPr>
            <w:tcW w:w="679" w:type="dxa"/>
            <w:tcBorders>
              <w:top w:val="single" w:color="auto" w:sz="6" w:space="0"/>
              <w:left w:val="single" w:color="auto" w:sz="4" w:space="0"/>
              <w:bottom w:val="single" w:color="auto" w:sz="6" w:space="0"/>
              <w:right w:val="single" w:color="auto" w:sz="6" w:space="0"/>
            </w:tcBorders>
            <w:noWrap/>
            <w:vAlign w:val="center"/>
          </w:tcPr>
          <w:p>
            <w:pPr>
              <w:spacing w:line="400" w:lineRule="exact"/>
              <w:jc w:val="center"/>
              <w:rPr>
                <w:rFonts w:asciiTheme="minorEastAsia" w:hAnsiTheme="minorEastAsia" w:eastAsiaTheme="minorEastAsia" w:cstheme="minorEastAsia"/>
                <w:sz w:val="24"/>
              </w:rPr>
            </w:pPr>
          </w:p>
        </w:tc>
        <w:tc>
          <w:tcPr>
            <w:tcW w:w="1357" w:type="dxa"/>
            <w:tcBorders>
              <w:top w:val="single" w:color="auto" w:sz="6" w:space="0"/>
              <w:left w:val="single" w:color="auto" w:sz="6" w:space="0"/>
              <w:bottom w:val="single" w:color="auto" w:sz="6" w:space="0"/>
              <w:right w:val="single" w:color="auto" w:sz="6" w:space="0"/>
            </w:tcBorders>
            <w:noWrap/>
            <w:vAlign w:val="center"/>
          </w:tcPr>
          <w:p>
            <w:pPr>
              <w:spacing w:line="400" w:lineRule="exact"/>
              <w:jc w:val="center"/>
              <w:rPr>
                <w:rFonts w:asciiTheme="minorEastAsia" w:hAnsiTheme="minorEastAsia" w:eastAsiaTheme="minorEastAsia" w:cstheme="minorEastAsia"/>
                <w:sz w:val="24"/>
              </w:rPr>
            </w:pPr>
          </w:p>
        </w:tc>
        <w:tc>
          <w:tcPr>
            <w:tcW w:w="1244" w:type="dxa"/>
            <w:tcBorders>
              <w:top w:val="single" w:color="auto" w:sz="6" w:space="0"/>
              <w:left w:val="single" w:color="auto" w:sz="6" w:space="0"/>
              <w:bottom w:val="single" w:color="auto" w:sz="6" w:space="0"/>
              <w:right w:val="single" w:color="auto" w:sz="6" w:space="0"/>
            </w:tcBorders>
            <w:noWrap/>
            <w:vAlign w:val="center"/>
          </w:tcPr>
          <w:p>
            <w:pPr>
              <w:spacing w:line="400" w:lineRule="exact"/>
              <w:jc w:val="center"/>
              <w:rPr>
                <w:rFonts w:asciiTheme="minorEastAsia" w:hAnsiTheme="minorEastAsia" w:eastAsiaTheme="minorEastAsia" w:cstheme="minorEastAsia"/>
                <w:sz w:val="24"/>
              </w:rPr>
            </w:pPr>
          </w:p>
        </w:tc>
        <w:tc>
          <w:tcPr>
            <w:tcW w:w="1188" w:type="dxa"/>
            <w:tcBorders>
              <w:top w:val="single" w:color="auto" w:sz="6" w:space="0"/>
              <w:left w:val="single" w:color="auto" w:sz="6" w:space="0"/>
              <w:bottom w:val="single" w:color="auto" w:sz="6" w:space="0"/>
              <w:right w:val="single" w:color="auto" w:sz="6" w:space="0"/>
            </w:tcBorders>
            <w:noWrap/>
            <w:vAlign w:val="center"/>
          </w:tcPr>
          <w:p>
            <w:pPr>
              <w:spacing w:line="400" w:lineRule="exact"/>
              <w:jc w:val="center"/>
              <w:rPr>
                <w:rFonts w:asciiTheme="minorEastAsia" w:hAnsiTheme="minorEastAsia" w:eastAsiaTheme="minorEastAsia" w:cstheme="minorEastAsia"/>
                <w:sz w:val="24"/>
              </w:rPr>
            </w:pPr>
          </w:p>
        </w:tc>
        <w:tc>
          <w:tcPr>
            <w:tcW w:w="1489" w:type="dxa"/>
            <w:gridSpan w:val="2"/>
            <w:tcBorders>
              <w:top w:val="single" w:color="auto" w:sz="6" w:space="0"/>
              <w:left w:val="single" w:color="auto" w:sz="6" w:space="0"/>
              <w:bottom w:val="single" w:color="auto" w:sz="6" w:space="0"/>
              <w:right w:val="single" w:color="auto" w:sz="4" w:space="0"/>
            </w:tcBorders>
            <w:noWrap/>
            <w:vAlign w:val="center"/>
          </w:tcPr>
          <w:p>
            <w:pPr>
              <w:spacing w:line="400" w:lineRule="exact"/>
              <w:jc w:val="center"/>
              <w:rPr>
                <w:rFonts w:asciiTheme="minorEastAsia" w:hAnsiTheme="minorEastAsia" w:eastAsiaTheme="minorEastAsia" w:cstheme="minorEastAsia"/>
                <w:sz w:val="24"/>
              </w:rPr>
            </w:pPr>
          </w:p>
        </w:tc>
        <w:tc>
          <w:tcPr>
            <w:tcW w:w="1530" w:type="dxa"/>
            <w:tcBorders>
              <w:top w:val="single" w:color="auto" w:sz="6" w:space="0"/>
              <w:left w:val="single" w:color="auto" w:sz="4" w:space="0"/>
              <w:bottom w:val="single" w:color="auto" w:sz="6" w:space="0"/>
              <w:right w:val="single" w:color="auto" w:sz="6" w:space="0"/>
            </w:tcBorders>
            <w:noWrap/>
            <w:vAlign w:val="center"/>
          </w:tcPr>
          <w:p>
            <w:pPr>
              <w:spacing w:line="400" w:lineRule="exact"/>
              <w:jc w:val="center"/>
              <w:rPr>
                <w:rFonts w:asciiTheme="minorEastAsia" w:hAnsiTheme="minorEastAsia" w:eastAsiaTheme="minorEastAsia" w:cstheme="minorEastAsia"/>
                <w:sz w:val="24"/>
              </w:rPr>
            </w:pPr>
          </w:p>
        </w:tc>
        <w:tc>
          <w:tcPr>
            <w:tcW w:w="1585" w:type="dxa"/>
            <w:tcBorders>
              <w:top w:val="single" w:color="auto" w:sz="6" w:space="0"/>
              <w:left w:val="single" w:color="auto" w:sz="4" w:space="0"/>
              <w:bottom w:val="single" w:color="auto" w:sz="6" w:space="0"/>
              <w:right w:val="single" w:color="auto" w:sz="4" w:space="0"/>
            </w:tcBorders>
            <w:noWrap/>
            <w:vAlign w:val="center"/>
          </w:tcPr>
          <w:p>
            <w:pPr>
              <w:spacing w:line="400" w:lineRule="exact"/>
              <w:jc w:val="center"/>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94" w:hRule="atLeast"/>
        </w:trPr>
        <w:tc>
          <w:tcPr>
            <w:tcW w:w="679" w:type="dxa"/>
            <w:tcBorders>
              <w:top w:val="single" w:color="auto" w:sz="6" w:space="0"/>
              <w:left w:val="single" w:color="auto" w:sz="4" w:space="0"/>
              <w:bottom w:val="single" w:color="auto" w:sz="6" w:space="0"/>
              <w:right w:val="single" w:color="auto" w:sz="6" w:space="0"/>
            </w:tcBorders>
            <w:noWrap/>
            <w:vAlign w:val="center"/>
          </w:tcPr>
          <w:p>
            <w:pPr>
              <w:spacing w:line="400" w:lineRule="exact"/>
              <w:jc w:val="center"/>
              <w:rPr>
                <w:rFonts w:asciiTheme="minorEastAsia" w:hAnsiTheme="minorEastAsia" w:eastAsiaTheme="minorEastAsia" w:cstheme="minorEastAsia"/>
                <w:sz w:val="24"/>
              </w:rPr>
            </w:pPr>
          </w:p>
        </w:tc>
        <w:tc>
          <w:tcPr>
            <w:tcW w:w="1357" w:type="dxa"/>
            <w:tcBorders>
              <w:top w:val="single" w:color="auto" w:sz="6" w:space="0"/>
              <w:left w:val="single" w:color="auto" w:sz="6" w:space="0"/>
              <w:bottom w:val="single" w:color="auto" w:sz="6" w:space="0"/>
              <w:right w:val="single" w:color="auto" w:sz="6" w:space="0"/>
            </w:tcBorders>
            <w:noWrap/>
            <w:vAlign w:val="center"/>
          </w:tcPr>
          <w:p>
            <w:pPr>
              <w:spacing w:line="400" w:lineRule="exact"/>
              <w:jc w:val="center"/>
              <w:rPr>
                <w:rFonts w:asciiTheme="minorEastAsia" w:hAnsiTheme="minorEastAsia" w:eastAsiaTheme="minorEastAsia" w:cstheme="minorEastAsia"/>
                <w:sz w:val="24"/>
              </w:rPr>
            </w:pPr>
          </w:p>
        </w:tc>
        <w:tc>
          <w:tcPr>
            <w:tcW w:w="1244" w:type="dxa"/>
            <w:tcBorders>
              <w:top w:val="single" w:color="auto" w:sz="6" w:space="0"/>
              <w:left w:val="single" w:color="auto" w:sz="6" w:space="0"/>
              <w:bottom w:val="single" w:color="auto" w:sz="6" w:space="0"/>
              <w:right w:val="single" w:color="auto" w:sz="6" w:space="0"/>
            </w:tcBorders>
            <w:noWrap/>
            <w:vAlign w:val="center"/>
          </w:tcPr>
          <w:p>
            <w:pPr>
              <w:spacing w:line="400" w:lineRule="exact"/>
              <w:jc w:val="center"/>
              <w:rPr>
                <w:rFonts w:asciiTheme="minorEastAsia" w:hAnsiTheme="minorEastAsia" w:eastAsiaTheme="minorEastAsia" w:cstheme="minorEastAsia"/>
                <w:sz w:val="24"/>
              </w:rPr>
            </w:pPr>
          </w:p>
        </w:tc>
        <w:tc>
          <w:tcPr>
            <w:tcW w:w="1188" w:type="dxa"/>
            <w:tcBorders>
              <w:top w:val="single" w:color="auto" w:sz="6" w:space="0"/>
              <w:left w:val="single" w:color="auto" w:sz="6" w:space="0"/>
              <w:bottom w:val="single" w:color="auto" w:sz="6" w:space="0"/>
              <w:right w:val="single" w:color="auto" w:sz="6" w:space="0"/>
            </w:tcBorders>
            <w:noWrap/>
            <w:vAlign w:val="center"/>
          </w:tcPr>
          <w:p>
            <w:pPr>
              <w:spacing w:line="400" w:lineRule="exact"/>
              <w:jc w:val="center"/>
              <w:rPr>
                <w:rFonts w:asciiTheme="minorEastAsia" w:hAnsiTheme="minorEastAsia" w:eastAsiaTheme="minorEastAsia" w:cstheme="minorEastAsia"/>
                <w:sz w:val="24"/>
              </w:rPr>
            </w:pPr>
          </w:p>
        </w:tc>
        <w:tc>
          <w:tcPr>
            <w:tcW w:w="1489" w:type="dxa"/>
            <w:gridSpan w:val="2"/>
            <w:tcBorders>
              <w:top w:val="single" w:color="auto" w:sz="6" w:space="0"/>
              <w:left w:val="single" w:color="auto" w:sz="6" w:space="0"/>
              <w:bottom w:val="single" w:color="auto" w:sz="6" w:space="0"/>
              <w:right w:val="single" w:color="auto" w:sz="4" w:space="0"/>
            </w:tcBorders>
            <w:noWrap/>
            <w:vAlign w:val="center"/>
          </w:tcPr>
          <w:p>
            <w:pPr>
              <w:spacing w:line="400" w:lineRule="exact"/>
              <w:jc w:val="center"/>
              <w:rPr>
                <w:rFonts w:asciiTheme="minorEastAsia" w:hAnsiTheme="minorEastAsia" w:eastAsiaTheme="minorEastAsia" w:cstheme="minorEastAsia"/>
                <w:sz w:val="24"/>
              </w:rPr>
            </w:pPr>
          </w:p>
        </w:tc>
        <w:tc>
          <w:tcPr>
            <w:tcW w:w="1530" w:type="dxa"/>
            <w:tcBorders>
              <w:top w:val="single" w:color="auto" w:sz="6" w:space="0"/>
              <w:left w:val="single" w:color="auto" w:sz="4" w:space="0"/>
              <w:bottom w:val="single" w:color="auto" w:sz="6" w:space="0"/>
              <w:right w:val="single" w:color="auto" w:sz="6" w:space="0"/>
            </w:tcBorders>
            <w:noWrap/>
            <w:vAlign w:val="center"/>
          </w:tcPr>
          <w:p>
            <w:pPr>
              <w:spacing w:line="400" w:lineRule="exact"/>
              <w:jc w:val="center"/>
              <w:rPr>
                <w:rFonts w:asciiTheme="minorEastAsia" w:hAnsiTheme="minorEastAsia" w:eastAsiaTheme="minorEastAsia" w:cstheme="minorEastAsia"/>
                <w:sz w:val="24"/>
              </w:rPr>
            </w:pPr>
          </w:p>
        </w:tc>
        <w:tc>
          <w:tcPr>
            <w:tcW w:w="1585" w:type="dxa"/>
            <w:tcBorders>
              <w:top w:val="single" w:color="auto" w:sz="6" w:space="0"/>
              <w:left w:val="single" w:color="auto" w:sz="4" w:space="0"/>
              <w:bottom w:val="single" w:color="auto" w:sz="6" w:space="0"/>
              <w:right w:val="single" w:color="auto" w:sz="4" w:space="0"/>
            </w:tcBorders>
            <w:noWrap/>
            <w:vAlign w:val="center"/>
          </w:tcPr>
          <w:p>
            <w:pPr>
              <w:spacing w:line="400" w:lineRule="exact"/>
              <w:jc w:val="center"/>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94" w:hRule="atLeast"/>
        </w:trPr>
        <w:tc>
          <w:tcPr>
            <w:tcW w:w="679" w:type="dxa"/>
            <w:tcBorders>
              <w:top w:val="single" w:color="auto" w:sz="6" w:space="0"/>
              <w:left w:val="single" w:color="auto" w:sz="4" w:space="0"/>
              <w:bottom w:val="single" w:color="auto" w:sz="6" w:space="0"/>
              <w:right w:val="single" w:color="auto" w:sz="6" w:space="0"/>
            </w:tcBorders>
            <w:noWrap/>
            <w:vAlign w:val="center"/>
          </w:tcPr>
          <w:p>
            <w:pPr>
              <w:spacing w:line="400" w:lineRule="exact"/>
              <w:jc w:val="center"/>
              <w:rPr>
                <w:rFonts w:asciiTheme="minorEastAsia" w:hAnsiTheme="minorEastAsia" w:eastAsiaTheme="minorEastAsia" w:cstheme="minorEastAsia"/>
                <w:sz w:val="24"/>
              </w:rPr>
            </w:pPr>
          </w:p>
        </w:tc>
        <w:tc>
          <w:tcPr>
            <w:tcW w:w="1357" w:type="dxa"/>
            <w:tcBorders>
              <w:top w:val="single" w:color="auto" w:sz="6" w:space="0"/>
              <w:left w:val="single" w:color="auto" w:sz="6" w:space="0"/>
              <w:bottom w:val="single" w:color="auto" w:sz="6" w:space="0"/>
              <w:right w:val="single" w:color="auto" w:sz="6" w:space="0"/>
            </w:tcBorders>
            <w:noWrap/>
            <w:vAlign w:val="center"/>
          </w:tcPr>
          <w:p>
            <w:pPr>
              <w:spacing w:line="400" w:lineRule="exact"/>
              <w:jc w:val="center"/>
              <w:rPr>
                <w:rFonts w:asciiTheme="minorEastAsia" w:hAnsiTheme="minorEastAsia" w:eastAsiaTheme="minorEastAsia" w:cstheme="minorEastAsia"/>
                <w:sz w:val="24"/>
              </w:rPr>
            </w:pPr>
          </w:p>
        </w:tc>
        <w:tc>
          <w:tcPr>
            <w:tcW w:w="1244" w:type="dxa"/>
            <w:tcBorders>
              <w:top w:val="single" w:color="auto" w:sz="6" w:space="0"/>
              <w:left w:val="single" w:color="auto" w:sz="6" w:space="0"/>
              <w:bottom w:val="single" w:color="auto" w:sz="6" w:space="0"/>
              <w:right w:val="single" w:color="auto" w:sz="6" w:space="0"/>
            </w:tcBorders>
            <w:noWrap/>
            <w:vAlign w:val="center"/>
          </w:tcPr>
          <w:p>
            <w:pPr>
              <w:spacing w:line="400" w:lineRule="exact"/>
              <w:jc w:val="center"/>
              <w:rPr>
                <w:rFonts w:asciiTheme="minorEastAsia" w:hAnsiTheme="minorEastAsia" w:eastAsiaTheme="minorEastAsia" w:cstheme="minorEastAsia"/>
                <w:sz w:val="24"/>
              </w:rPr>
            </w:pPr>
          </w:p>
        </w:tc>
        <w:tc>
          <w:tcPr>
            <w:tcW w:w="1188" w:type="dxa"/>
            <w:tcBorders>
              <w:top w:val="single" w:color="auto" w:sz="6" w:space="0"/>
              <w:left w:val="single" w:color="auto" w:sz="6" w:space="0"/>
              <w:bottom w:val="single" w:color="auto" w:sz="6" w:space="0"/>
              <w:right w:val="single" w:color="auto" w:sz="6" w:space="0"/>
            </w:tcBorders>
            <w:noWrap/>
            <w:vAlign w:val="center"/>
          </w:tcPr>
          <w:p>
            <w:pPr>
              <w:spacing w:line="400" w:lineRule="exact"/>
              <w:jc w:val="center"/>
              <w:rPr>
                <w:rFonts w:asciiTheme="minorEastAsia" w:hAnsiTheme="minorEastAsia" w:eastAsiaTheme="minorEastAsia" w:cstheme="minorEastAsia"/>
                <w:sz w:val="24"/>
              </w:rPr>
            </w:pPr>
          </w:p>
        </w:tc>
        <w:tc>
          <w:tcPr>
            <w:tcW w:w="1489" w:type="dxa"/>
            <w:gridSpan w:val="2"/>
            <w:tcBorders>
              <w:top w:val="single" w:color="auto" w:sz="6" w:space="0"/>
              <w:left w:val="single" w:color="auto" w:sz="6" w:space="0"/>
              <w:bottom w:val="single" w:color="auto" w:sz="6" w:space="0"/>
              <w:right w:val="single" w:color="auto" w:sz="4" w:space="0"/>
            </w:tcBorders>
            <w:noWrap/>
            <w:vAlign w:val="center"/>
          </w:tcPr>
          <w:p>
            <w:pPr>
              <w:spacing w:line="400" w:lineRule="exact"/>
              <w:jc w:val="center"/>
              <w:rPr>
                <w:rFonts w:asciiTheme="minorEastAsia" w:hAnsiTheme="minorEastAsia" w:eastAsiaTheme="minorEastAsia" w:cstheme="minorEastAsia"/>
                <w:sz w:val="24"/>
              </w:rPr>
            </w:pPr>
          </w:p>
        </w:tc>
        <w:tc>
          <w:tcPr>
            <w:tcW w:w="1530" w:type="dxa"/>
            <w:tcBorders>
              <w:top w:val="single" w:color="auto" w:sz="6" w:space="0"/>
              <w:left w:val="single" w:color="auto" w:sz="4" w:space="0"/>
              <w:bottom w:val="single" w:color="auto" w:sz="6" w:space="0"/>
              <w:right w:val="single" w:color="auto" w:sz="6" w:space="0"/>
            </w:tcBorders>
            <w:noWrap/>
            <w:vAlign w:val="center"/>
          </w:tcPr>
          <w:p>
            <w:pPr>
              <w:spacing w:line="400" w:lineRule="exact"/>
              <w:jc w:val="center"/>
              <w:rPr>
                <w:rFonts w:asciiTheme="minorEastAsia" w:hAnsiTheme="minorEastAsia" w:eastAsiaTheme="minorEastAsia" w:cstheme="minorEastAsia"/>
                <w:sz w:val="24"/>
              </w:rPr>
            </w:pPr>
          </w:p>
        </w:tc>
        <w:tc>
          <w:tcPr>
            <w:tcW w:w="1585" w:type="dxa"/>
            <w:tcBorders>
              <w:top w:val="single" w:color="auto" w:sz="6" w:space="0"/>
              <w:left w:val="single" w:color="auto" w:sz="4" w:space="0"/>
              <w:bottom w:val="single" w:color="auto" w:sz="6" w:space="0"/>
              <w:right w:val="single" w:color="auto" w:sz="4" w:space="0"/>
            </w:tcBorders>
            <w:noWrap/>
            <w:vAlign w:val="center"/>
          </w:tcPr>
          <w:p>
            <w:pPr>
              <w:spacing w:line="400" w:lineRule="exact"/>
              <w:jc w:val="center"/>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94" w:hRule="atLeast"/>
        </w:trPr>
        <w:tc>
          <w:tcPr>
            <w:tcW w:w="679" w:type="dxa"/>
            <w:tcBorders>
              <w:top w:val="single" w:color="auto" w:sz="6" w:space="0"/>
              <w:left w:val="single" w:color="auto" w:sz="4" w:space="0"/>
              <w:bottom w:val="single" w:color="auto" w:sz="6" w:space="0"/>
              <w:right w:val="single" w:color="auto" w:sz="6" w:space="0"/>
            </w:tcBorders>
            <w:noWrap/>
            <w:vAlign w:val="center"/>
          </w:tcPr>
          <w:p>
            <w:pPr>
              <w:spacing w:line="400" w:lineRule="exact"/>
              <w:jc w:val="center"/>
              <w:rPr>
                <w:rFonts w:asciiTheme="minorEastAsia" w:hAnsiTheme="minorEastAsia" w:eastAsiaTheme="minorEastAsia" w:cstheme="minorEastAsia"/>
                <w:sz w:val="24"/>
              </w:rPr>
            </w:pPr>
          </w:p>
        </w:tc>
        <w:tc>
          <w:tcPr>
            <w:tcW w:w="1357" w:type="dxa"/>
            <w:tcBorders>
              <w:top w:val="single" w:color="auto" w:sz="6" w:space="0"/>
              <w:left w:val="single" w:color="auto" w:sz="6" w:space="0"/>
              <w:bottom w:val="single" w:color="auto" w:sz="6" w:space="0"/>
              <w:right w:val="single" w:color="auto" w:sz="4" w:space="0"/>
            </w:tcBorders>
            <w:noWrap/>
            <w:vAlign w:val="center"/>
          </w:tcPr>
          <w:p>
            <w:pPr>
              <w:spacing w:line="400" w:lineRule="exact"/>
              <w:jc w:val="center"/>
              <w:rPr>
                <w:rFonts w:asciiTheme="minorEastAsia" w:hAnsiTheme="minorEastAsia" w:eastAsiaTheme="minorEastAsia" w:cstheme="minorEastAsia"/>
                <w:sz w:val="24"/>
              </w:rPr>
            </w:pPr>
          </w:p>
        </w:tc>
        <w:tc>
          <w:tcPr>
            <w:tcW w:w="1244" w:type="dxa"/>
            <w:tcBorders>
              <w:top w:val="single" w:color="auto" w:sz="6" w:space="0"/>
              <w:left w:val="single" w:color="auto" w:sz="4" w:space="0"/>
              <w:bottom w:val="single" w:color="auto" w:sz="6" w:space="0"/>
              <w:right w:val="single" w:color="auto" w:sz="6" w:space="0"/>
            </w:tcBorders>
            <w:noWrap/>
            <w:vAlign w:val="center"/>
          </w:tcPr>
          <w:p>
            <w:pPr>
              <w:spacing w:line="400" w:lineRule="exact"/>
              <w:jc w:val="center"/>
              <w:rPr>
                <w:rFonts w:asciiTheme="minorEastAsia" w:hAnsiTheme="minorEastAsia" w:eastAsiaTheme="minorEastAsia" w:cstheme="minorEastAsia"/>
                <w:sz w:val="24"/>
              </w:rPr>
            </w:pPr>
          </w:p>
        </w:tc>
        <w:tc>
          <w:tcPr>
            <w:tcW w:w="1188" w:type="dxa"/>
            <w:tcBorders>
              <w:top w:val="single" w:color="auto" w:sz="6" w:space="0"/>
              <w:left w:val="single" w:color="auto" w:sz="6" w:space="0"/>
              <w:bottom w:val="single" w:color="auto" w:sz="6" w:space="0"/>
              <w:right w:val="single" w:color="auto" w:sz="6" w:space="0"/>
            </w:tcBorders>
            <w:noWrap/>
            <w:vAlign w:val="center"/>
          </w:tcPr>
          <w:p>
            <w:pPr>
              <w:spacing w:line="400" w:lineRule="exact"/>
              <w:jc w:val="center"/>
              <w:rPr>
                <w:rFonts w:asciiTheme="minorEastAsia" w:hAnsiTheme="minorEastAsia" w:eastAsiaTheme="minorEastAsia" w:cstheme="minorEastAsia"/>
                <w:sz w:val="24"/>
              </w:rPr>
            </w:pPr>
          </w:p>
        </w:tc>
        <w:tc>
          <w:tcPr>
            <w:tcW w:w="1489" w:type="dxa"/>
            <w:gridSpan w:val="2"/>
            <w:tcBorders>
              <w:top w:val="single" w:color="auto" w:sz="6" w:space="0"/>
              <w:left w:val="single" w:color="auto" w:sz="6" w:space="0"/>
              <w:bottom w:val="single" w:color="auto" w:sz="6" w:space="0"/>
              <w:right w:val="single" w:color="auto" w:sz="4" w:space="0"/>
            </w:tcBorders>
            <w:noWrap/>
            <w:vAlign w:val="center"/>
          </w:tcPr>
          <w:p>
            <w:pPr>
              <w:spacing w:line="400" w:lineRule="exact"/>
              <w:jc w:val="center"/>
              <w:rPr>
                <w:rFonts w:asciiTheme="minorEastAsia" w:hAnsiTheme="minorEastAsia" w:eastAsiaTheme="minorEastAsia" w:cstheme="minorEastAsia"/>
                <w:sz w:val="24"/>
              </w:rPr>
            </w:pPr>
          </w:p>
        </w:tc>
        <w:tc>
          <w:tcPr>
            <w:tcW w:w="1530" w:type="dxa"/>
            <w:tcBorders>
              <w:top w:val="single" w:color="auto" w:sz="6" w:space="0"/>
              <w:left w:val="single" w:color="auto" w:sz="4" w:space="0"/>
              <w:bottom w:val="single" w:color="auto" w:sz="6" w:space="0"/>
              <w:right w:val="single" w:color="auto" w:sz="6" w:space="0"/>
            </w:tcBorders>
            <w:noWrap/>
            <w:vAlign w:val="center"/>
          </w:tcPr>
          <w:p>
            <w:pPr>
              <w:spacing w:line="400" w:lineRule="exact"/>
              <w:jc w:val="center"/>
              <w:rPr>
                <w:rFonts w:asciiTheme="minorEastAsia" w:hAnsiTheme="minorEastAsia" w:eastAsiaTheme="minorEastAsia" w:cstheme="minorEastAsia"/>
                <w:sz w:val="24"/>
              </w:rPr>
            </w:pPr>
          </w:p>
        </w:tc>
        <w:tc>
          <w:tcPr>
            <w:tcW w:w="1585" w:type="dxa"/>
            <w:tcBorders>
              <w:top w:val="single" w:color="auto" w:sz="6" w:space="0"/>
              <w:left w:val="single" w:color="auto" w:sz="4" w:space="0"/>
              <w:bottom w:val="single" w:color="auto" w:sz="6" w:space="0"/>
              <w:right w:val="single" w:color="auto" w:sz="4" w:space="0"/>
            </w:tcBorders>
            <w:noWrap/>
            <w:vAlign w:val="center"/>
          </w:tcPr>
          <w:p>
            <w:pPr>
              <w:spacing w:line="400" w:lineRule="exact"/>
              <w:jc w:val="center"/>
              <w:rPr>
                <w:rFonts w:asciiTheme="minorEastAsia" w:hAnsiTheme="minorEastAsia" w:eastAsiaTheme="minorEastAsia" w:cstheme="minorEastAsia"/>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94" w:hRule="atLeast"/>
        </w:trPr>
        <w:tc>
          <w:tcPr>
            <w:tcW w:w="679" w:type="dxa"/>
            <w:tcBorders>
              <w:top w:val="single" w:color="auto" w:sz="6" w:space="0"/>
              <w:left w:val="single" w:color="auto" w:sz="4" w:space="0"/>
              <w:bottom w:val="single" w:color="auto" w:sz="4" w:space="0"/>
              <w:right w:val="single" w:color="auto" w:sz="4" w:space="0"/>
            </w:tcBorders>
            <w:noWrap/>
            <w:vAlign w:val="center"/>
          </w:tcPr>
          <w:p>
            <w:pPr>
              <w:spacing w:line="400" w:lineRule="exact"/>
              <w:rPr>
                <w:rFonts w:asciiTheme="minorEastAsia" w:hAnsiTheme="minorEastAsia" w:eastAsiaTheme="minorEastAsia" w:cstheme="minorEastAsia"/>
                <w:sz w:val="24"/>
              </w:rPr>
            </w:pPr>
          </w:p>
        </w:tc>
        <w:tc>
          <w:tcPr>
            <w:tcW w:w="1357" w:type="dxa"/>
            <w:tcBorders>
              <w:top w:val="single" w:color="auto" w:sz="6" w:space="0"/>
              <w:left w:val="single" w:color="auto" w:sz="4" w:space="0"/>
              <w:bottom w:val="single" w:color="auto" w:sz="4" w:space="0"/>
              <w:right w:val="single" w:color="auto" w:sz="4" w:space="0"/>
            </w:tcBorders>
            <w:noWrap/>
            <w:vAlign w:val="center"/>
          </w:tcPr>
          <w:p>
            <w:pPr>
              <w:spacing w:line="400" w:lineRule="exact"/>
              <w:rPr>
                <w:rFonts w:asciiTheme="minorEastAsia" w:hAnsiTheme="minorEastAsia" w:eastAsiaTheme="minorEastAsia" w:cstheme="minorEastAsia"/>
                <w:sz w:val="24"/>
              </w:rPr>
            </w:pPr>
          </w:p>
        </w:tc>
        <w:tc>
          <w:tcPr>
            <w:tcW w:w="1244" w:type="dxa"/>
            <w:tcBorders>
              <w:top w:val="single" w:color="auto" w:sz="6" w:space="0"/>
              <w:left w:val="single" w:color="auto" w:sz="4" w:space="0"/>
              <w:bottom w:val="single" w:color="auto" w:sz="4" w:space="0"/>
              <w:right w:val="single" w:color="auto" w:sz="4" w:space="0"/>
            </w:tcBorders>
            <w:noWrap/>
            <w:vAlign w:val="center"/>
          </w:tcPr>
          <w:p>
            <w:pPr>
              <w:spacing w:line="400" w:lineRule="exact"/>
              <w:rPr>
                <w:rFonts w:asciiTheme="minorEastAsia" w:hAnsiTheme="minorEastAsia" w:eastAsiaTheme="minorEastAsia" w:cstheme="minorEastAsia"/>
                <w:sz w:val="24"/>
              </w:rPr>
            </w:pPr>
          </w:p>
        </w:tc>
        <w:tc>
          <w:tcPr>
            <w:tcW w:w="1196" w:type="dxa"/>
            <w:gridSpan w:val="2"/>
            <w:tcBorders>
              <w:top w:val="single" w:color="auto" w:sz="6" w:space="0"/>
              <w:left w:val="single" w:color="auto" w:sz="4" w:space="0"/>
              <w:bottom w:val="single" w:color="auto" w:sz="4" w:space="0"/>
              <w:right w:val="single" w:color="auto" w:sz="4" w:space="0"/>
            </w:tcBorders>
            <w:noWrap/>
            <w:vAlign w:val="center"/>
          </w:tcPr>
          <w:p>
            <w:pPr>
              <w:spacing w:line="400" w:lineRule="exact"/>
              <w:rPr>
                <w:rFonts w:asciiTheme="minorEastAsia" w:hAnsiTheme="minorEastAsia" w:eastAsiaTheme="minorEastAsia" w:cstheme="minorEastAsia"/>
                <w:sz w:val="24"/>
              </w:rPr>
            </w:pPr>
          </w:p>
        </w:tc>
        <w:tc>
          <w:tcPr>
            <w:tcW w:w="1481" w:type="dxa"/>
            <w:tcBorders>
              <w:top w:val="single" w:color="auto" w:sz="6" w:space="0"/>
              <w:left w:val="single" w:color="auto" w:sz="4" w:space="0"/>
              <w:bottom w:val="single" w:color="auto" w:sz="4" w:space="0"/>
              <w:right w:val="single" w:color="auto" w:sz="4" w:space="0"/>
            </w:tcBorders>
            <w:noWrap/>
            <w:vAlign w:val="center"/>
          </w:tcPr>
          <w:p>
            <w:pPr>
              <w:spacing w:line="400" w:lineRule="exact"/>
              <w:rPr>
                <w:rFonts w:asciiTheme="minorEastAsia" w:hAnsiTheme="minorEastAsia" w:eastAsiaTheme="minorEastAsia" w:cstheme="minorEastAsia"/>
                <w:sz w:val="24"/>
              </w:rPr>
            </w:pPr>
          </w:p>
        </w:tc>
        <w:tc>
          <w:tcPr>
            <w:tcW w:w="1530" w:type="dxa"/>
            <w:tcBorders>
              <w:top w:val="single" w:color="auto" w:sz="6" w:space="0"/>
              <w:left w:val="single" w:color="auto" w:sz="4" w:space="0"/>
              <w:bottom w:val="single" w:color="auto" w:sz="4" w:space="0"/>
              <w:right w:val="single" w:color="auto" w:sz="6" w:space="0"/>
            </w:tcBorders>
            <w:noWrap/>
            <w:vAlign w:val="center"/>
          </w:tcPr>
          <w:p>
            <w:pPr>
              <w:spacing w:line="400" w:lineRule="exact"/>
              <w:rPr>
                <w:rFonts w:asciiTheme="minorEastAsia" w:hAnsiTheme="minorEastAsia" w:eastAsiaTheme="minorEastAsia" w:cstheme="minorEastAsia"/>
                <w:sz w:val="24"/>
              </w:rPr>
            </w:pPr>
          </w:p>
        </w:tc>
        <w:tc>
          <w:tcPr>
            <w:tcW w:w="1585" w:type="dxa"/>
            <w:tcBorders>
              <w:top w:val="single" w:color="auto" w:sz="6" w:space="0"/>
              <w:left w:val="single" w:color="auto" w:sz="4" w:space="0"/>
              <w:bottom w:val="single" w:color="auto" w:sz="4" w:space="0"/>
              <w:right w:val="single" w:color="auto" w:sz="4" w:space="0"/>
            </w:tcBorders>
            <w:noWrap/>
            <w:vAlign w:val="center"/>
          </w:tcPr>
          <w:p>
            <w:pPr>
              <w:spacing w:line="400" w:lineRule="exact"/>
              <w:rPr>
                <w:rFonts w:asciiTheme="minorEastAsia" w:hAnsiTheme="minorEastAsia" w:eastAsiaTheme="minorEastAsia" w:cstheme="minorEastAsia"/>
                <w:sz w:val="24"/>
              </w:rPr>
            </w:pPr>
          </w:p>
        </w:tc>
      </w:tr>
    </w:tbl>
    <w:p>
      <w:pPr>
        <w:tabs>
          <w:tab w:val="left" w:pos="8782"/>
        </w:tabs>
        <w:snapToGrid w:val="0"/>
        <w:ind w:left="503" w:leftChars="50" w:right="-38" w:hanging="398" w:hangingChars="16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注：后附相关证明材料</w:t>
      </w:r>
    </w:p>
    <w:p>
      <w:pPr>
        <w:pStyle w:val="28"/>
        <w:tabs>
          <w:tab w:val="left" w:pos="1158"/>
          <w:tab w:val="left" w:pos="1544"/>
          <w:tab w:val="clear" w:pos="945"/>
          <w:tab w:val="clear" w:pos="1155"/>
        </w:tabs>
        <w:rPr>
          <w:rFonts w:asciiTheme="minorEastAsia" w:hAnsiTheme="minorEastAsia" w:eastAsiaTheme="minorEastAsia" w:cstheme="minorEastAsia"/>
        </w:rPr>
      </w:pPr>
    </w:p>
    <w:p>
      <w:pPr>
        <w:wordWrap w:val="0"/>
        <w:autoSpaceDE w:val="0"/>
        <w:autoSpaceDN w:val="0"/>
        <w:adjustRightInd w:val="0"/>
        <w:spacing w:line="480" w:lineRule="auto"/>
        <w:ind w:right="-58" w:firstLine="480" w:firstLineChars="200"/>
        <w:jc w:val="center"/>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zh-CN"/>
        </w:rPr>
        <w:t>投标人（盖单位电子签章）:</w:t>
      </w:r>
    </w:p>
    <w:p>
      <w:pPr>
        <w:wordWrap w:val="0"/>
        <w:autoSpaceDE w:val="0"/>
        <w:autoSpaceDN w:val="0"/>
        <w:adjustRightInd w:val="0"/>
        <w:spacing w:line="480" w:lineRule="auto"/>
        <w:ind w:right="651" w:firstLine="2760" w:firstLineChars="1150"/>
        <w:rPr>
          <w:rFonts w:asciiTheme="minorEastAsia" w:hAnsiTheme="minorEastAsia" w:eastAsiaTheme="minorEastAsia" w:cstheme="minorEastAsia"/>
          <w:bCs/>
          <w:sz w:val="24"/>
          <w:u w:val="single"/>
          <w:lang w:val="zh-CN"/>
        </w:rPr>
      </w:pPr>
      <w:r>
        <w:rPr>
          <w:rFonts w:hint="eastAsia" w:asciiTheme="minorEastAsia" w:hAnsiTheme="minorEastAsia" w:eastAsiaTheme="minorEastAsia" w:cstheme="minorEastAsia"/>
          <w:kern w:val="0"/>
          <w:sz w:val="24"/>
        </w:rPr>
        <w:t>法定代表人</w:t>
      </w:r>
      <w:r>
        <w:rPr>
          <w:rFonts w:hint="eastAsia" w:asciiTheme="minorEastAsia" w:hAnsiTheme="minorEastAsia" w:eastAsiaTheme="minorEastAsia" w:cstheme="minorEastAsia"/>
          <w:bCs/>
          <w:sz w:val="24"/>
          <w:lang w:val="zh-CN"/>
        </w:rPr>
        <w:t>（</w:t>
      </w:r>
      <w:r>
        <w:rPr>
          <w:rFonts w:hint="eastAsia" w:asciiTheme="minorEastAsia" w:hAnsiTheme="minorEastAsia" w:eastAsiaTheme="minorEastAsia" w:cstheme="minorEastAsia"/>
          <w:kern w:val="0"/>
          <w:sz w:val="24"/>
        </w:rPr>
        <w:t>盖个人电子签章</w:t>
      </w:r>
      <w:r>
        <w:rPr>
          <w:rFonts w:hint="eastAsia" w:asciiTheme="minorEastAsia" w:hAnsiTheme="minorEastAsia" w:eastAsiaTheme="minorEastAsia" w:cstheme="minorEastAsia"/>
          <w:bCs/>
          <w:sz w:val="24"/>
          <w:lang w:val="zh-CN"/>
        </w:rPr>
        <w:t>）</w:t>
      </w:r>
      <w:r>
        <w:rPr>
          <w:rFonts w:hint="eastAsia" w:asciiTheme="minorEastAsia" w:hAnsiTheme="minorEastAsia" w:eastAsiaTheme="minorEastAsia" w:cstheme="minorEastAsia"/>
          <w:kern w:val="0"/>
          <w:sz w:val="24"/>
        </w:rPr>
        <w:t>：</w:t>
      </w:r>
    </w:p>
    <w:p>
      <w:pPr>
        <w:wordWrap w:val="0"/>
        <w:spacing w:line="480" w:lineRule="auto"/>
        <w:ind w:right="113" w:firstLine="2816" w:firstLineChars="1100"/>
        <w:rPr>
          <w:rFonts w:asciiTheme="minorEastAsia" w:hAnsiTheme="minorEastAsia" w:eastAsiaTheme="minorEastAsia" w:cstheme="minorEastAsia"/>
          <w:sz w:val="24"/>
        </w:rPr>
      </w:pPr>
      <w:r>
        <w:rPr>
          <w:rFonts w:hint="eastAsia" w:asciiTheme="minorEastAsia" w:hAnsiTheme="minorEastAsia" w:eastAsiaTheme="minorEastAsia" w:cstheme="minorEastAsia"/>
          <w:spacing w:val="8"/>
          <w:sz w:val="24"/>
        </w:rPr>
        <w:t>日    期：</w:t>
      </w:r>
      <w:r>
        <w:rPr>
          <w:rFonts w:hint="eastAsia" w:asciiTheme="minorEastAsia" w:hAnsiTheme="minorEastAsia" w:eastAsiaTheme="minorEastAsia" w:cstheme="minorEastAsia"/>
          <w:sz w:val="24"/>
        </w:rPr>
        <w:t>年月日</w:t>
      </w:r>
    </w:p>
    <w:p>
      <w:pPr>
        <w:pStyle w:val="28"/>
        <w:tabs>
          <w:tab w:val="left" w:pos="1158"/>
          <w:tab w:val="left" w:pos="1544"/>
          <w:tab w:val="clear" w:pos="945"/>
          <w:tab w:val="clear" w:pos="1155"/>
        </w:tabs>
        <w:rPr>
          <w:rFonts w:asciiTheme="minorEastAsia" w:hAnsiTheme="minorEastAsia" w:eastAsiaTheme="minorEastAsia" w:cstheme="minorEastAsia"/>
        </w:rPr>
      </w:pPr>
    </w:p>
    <w:p>
      <w:pPr>
        <w:pStyle w:val="28"/>
        <w:tabs>
          <w:tab w:val="left" w:pos="1158"/>
          <w:tab w:val="left" w:pos="1544"/>
          <w:tab w:val="clear" w:pos="945"/>
          <w:tab w:val="clear" w:pos="1155"/>
        </w:tabs>
        <w:rPr>
          <w:rFonts w:asciiTheme="minorEastAsia" w:hAnsiTheme="minorEastAsia" w:eastAsiaTheme="minorEastAsia" w:cstheme="minorEastAsia"/>
        </w:rPr>
      </w:pPr>
    </w:p>
    <w:bookmarkEnd w:id="123"/>
    <w:p>
      <w:pPr>
        <w:pStyle w:val="4"/>
        <w:rPr>
          <w:rStyle w:val="63"/>
          <w:rFonts w:asciiTheme="minorEastAsia" w:hAnsiTheme="minorEastAsia" w:eastAsiaTheme="minorEastAsia" w:cstheme="minorEastAsia"/>
          <w:b/>
        </w:rPr>
      </w:pPr>
      <w:bookmarkStart w:id="130" w:name="_Toc28290"/>
      <w:r>
        <w:rPr>
          <w:rStyle w:val="63"/>
          <w:rFonts w:hint="eastAsia" w:asciiTheme="minorEastAsia" w:hAnsiTheme="minorEastAsia" w:eastAsiaTheme="minorEastAsia" w:cstheme="minorEastAsia"/>
          <w:b/>
        </w:rPr>
        <w:br w:type="page"/>
      </w:r>
      <w:bookmarkStart w:id="131" w:name="_Toc21079"/>
      <w:bookmarkStart w:id="132" w:name="_Toc5421"/>
      <w:r>
        <w:rPr>
          <w:rStyle w:val="63"/>
          <w:rFonts w:hint="eastAsia" w:asciiTheme="minorEastAsia" w:hAnsiTheme="minorEastAsia" w:eastAsiaTheme="minorEastAsia" w:cstheme="minorEastAsia"/>
          <w:b/>
        </w:rPr>
        <w:t>九、反商业贿赂承诺书</w:t>
      </w:r>
      <w:bookmarkEnd w:id="130"/>
      <w:bookmarkEnd w:id="131"/>
      <w:bookmarkEnd w:id="132"/>
    </w:p>
    <w:p>
      <w:pPr>
        <w:spacing w:line="240" w:lineRule="atLeast"/>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我公司承诺：</w:t>
      </w:r>
    </w:p>
    <w:p>
      <w:pPr>
        <w:spacing w:line="360" w:lineRule="auto"/>
        <w:rPr>
          <w:rFonts w:asciiTheme="minorEastAsia" w:hAnsiTheme="minorEastAsia" w:eastAsiaTheme="minorEastAsia" w:cstheme="minorEastAsia"/>
          <w:szCs w:val="21"/>
        </w:rPr>
      </w:pPr>
    </w:p>
    <w:p>
      <w:pPr>
        <w:spacing w:line="360" w:lineRule="auto"/>
        <w:ind w:left="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在</w:t>
      </w:r>
      <w:r>
        <w:rPr>
          <w:rFonts w:hint="eastAsia" w:asciiTheme="minorEastAsia" w:hAnsiTheme="minorEastAsia" w:eastAsiaTheme="minorEastAsia" w:cstheme="minorEastAsia"/>
          <w:szCs w:val="21"/>
          <w:u w:val="single"/>
        </w:rPr>
        <w:t>（投标项目名称）</w:t>
      </w:r>
      <w:r>
        <w:rPr>
          <w:rFonts w:hint="eastAsia" w:asciiTheme="minorEastAsia" w:hAnsiTheme="minorEastAsia" w:eastAsiaTheme="minorEastAsia" w:cstheme="minorEastAsia"/>
          <w:szCs w:val="21"/>
        </w:rPr>
        <w:t>投标活动中，我公司保证做到：</w:t>
      </w:r>
    </w:p>
    <w:p>
      <w:pPr>
        <w:spacing w:line="360" w:lineRule="auto"/>
        <w:ind w:left="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一、公平参加本次投标活动。</w:t>
      </w:r>
    </w:p>
    <w:p>
      <w:pPr>
        <w:spacing w:line="360" w:lineRule="auto"/>
        <w:ind w:left="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二、杜绝任何形式的商业贿赂行为。不向国家工作人员、政府采购代理机构工作人员、评审专家及其亲属提供礼品礼金、回扣、佣金等费用。</w:t>
      </w:r>
    </w:p>
    <w:p>
      <w:pPr>
        <w:spacing w:line="360" w:lineRule="auto"/>
        <w:ind w:left="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三、若出现上述行为，我公司及参与投标的工作人员愿意接受按照国家法律法规等有关规定的处罚。</w:t>
      </w:r>
    </w:p>
    <w:p>
      <w:pPr>
        <w:spacing w:line="200" w:lineRule="exact"/>
        <w:rPr>
          <w:rFonts w:asciiTheme="minorEastAsia" w:hAnsiTheme="minorEastAsia" w:eastAsiaTheme="minorEastAsia" w:cstheme="minorEastAsia"/>
          <w:szCs w:val="21"/>
        </w:rPr>
      </w:pPr>
    </w:p>
    <w:p>
      <w:pPr>
        <w:spacing w:line="200" w:lineRule="exact"/>
        <w:rPr>
          <w:rFonts w:asciiTheme="minorEastAsia" w:hAnsiTheme="minorEastAsia" w:eastAsiaTheme="minorEastAsia" w:cstheme="minorEastAsia"/>
          <w:szCs w:val="21"/>
        </w:rPr>
      </w:pPr>
    </w:p>
    <w:p>
      <w:pPr>
        <w:wordWrap w:val="0"/>
        <w:autoSpaceDE w:val="0"/>
        <w:autoSpaceDN w:val="0"/>
        <w:adjustRightInd w:val="0"/>
        <w:spacing w:line="480" w:lineRule="auto"/>
        <w:ind w:right="1080" w:firstLine="420" w:firstLineChars="200"/>
        <w:jc w:val="center"/>
        <w:rPr>
          <w:rFonts w:asciiTheme="minorEastAsia" w:hAnsiTheme="minorEastAsia" w:eastAsiaTheme="minorEastAsia" w:cstheme="minorEastAsia"/>
          <w:bCs/>
          <w:szCs w:val="21"/>
          <w:lang w:val="zh-CN"/>
        </w:rPr>
      </w:pPr>
    </w:p>
    <w:p>
      <w:pPr>
        <w:wordWrap w:val="0"/>
        <w:autoSpaceDE w:val="0"/>
        <w:autoSpaceDN w:val="0"/>
        <w:adjustRightInd w:val="0"/>
        <w:spacing w:line="480" w:lineRule="auto"/>
        <w:ind w:right="-58" w:firstLine="420" w:firstLineChars="20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lang w:val="zh-CN"/>
        </w:rPr>
        <w:t xml:space="preserve">            投标人（盖单位电子签章）:</w:t>
      </w:r>
    </w:p>
    <w:p>
      <w:pPr>
        <w:wordWrap w:val="0"/>
        <w:autoSpaceDE w:val="0"/>
        <w:autoSpaceDN w:val="0"/>
        <w:adjustRightInd w:val="0"/>
        <w:spacing w:line="480" w:lineRule="auto"/>
        <w:ind w:right="651" w:firstLine="2415" w:firstLineChars="1150"/>
        <w:rPr>
          <w:rFonts w:asciiTheme="minorEastAsia" w:hAnsiTheme="minorEastAsia" w:eastAsiaTheme="minorEastAsia" w:cstheme="minorEastAsia"/>
          <w:bCs/>
          <w:szCs w:val="21"/>
          <w:u w:val="single"/>
          <w:lang w:val="zh-CN"/>
        </w:rPr>
      </w:pPr>
      <w:r>
        <w:rPr>
          <w:rFonts w:hint="eastAsia" w:asciiTheme="minorEastAsia" w:hAnsiTheme="minorEastAsia" w:eastAsiaTheme="minorEastAsia" w:cstheme="minorEastAsia"/>
          <w:kern w:val="0"/>
          <w:szCs w:val="21"/>
        </w:rPr>
        <w:t>法定代表人</w:t>
      </w:r>
      <w:r>
        <w:rPr>
          <w:rFonts w:hint="eastAsia" w:asciiTheme="minorEastAsia" w:hAnsiTheme="minorEastAsia" w:eastAsiaTheme="minorEastAsia" w:cstheme="minorEastAsia"/>
          <w:bCs/>
          <w:szCs w:val="21"/>
          <w:lang w:val="zh-CN"/>
        </w:rPr>
        <w:t>（</w:t>
      </w:r>
      <w:r>
        <w:rPr>
          <w:rFonts w:hint="eastAsia" w:asciiTheme="minorEastAsia" w:hAnsiTheme="minorEastAsia" w:eastAsiaTheme="minorEastAsia" w:cstheme="minorEastAsia"/>
          <w:kern w:val="0"/>
          <w:szCs w:val="21"/>
        </w:rPr>
        <w:t>盖个人电子签章</w:t>
      </w:r>
      <w:r>
        <w:rPr>
          <w:rFonts w:hint="eastAsia" w:asciiTheme="minorEastAsia" w:hAnsiTheme="minorEastAsia" w:eastAsiaTheme="minorEastAsia" w:cstheme="minorEastAsia"/>
          <w:bCs/>
          <w:szCs w:val="21"/>
          <w:lang w:val="zh-CN"/>
        </w:rPr>
        <w:t>）</w:t>
      </w:r>
      <w:r>
        <w:rPr>
          <w:rFonts w:hint="eastAsia" w:asciiTheme="minorEastAsia" w:hAnsiTheme="minorEastAsia" w:eastAsiaTheme="minorEastAsia" w:cstheme="minorEastAsia"/>
          <w:kern w:val="0"/>
          <w:szCs w:val="21"/>
        </w:rPr>
        <w:t>：</w:t>
      </w:r>
    </w:p>
    <w:p>
      <w:pPr>
        <w:wordWrap w:val="0"/>
        <w:spacing w:line="480" w:lineRule="auto"/>
        <w:ind w:right="113" w:firstLine="2486" w:firstLineChars="1100"/>
        <w:rPr>
          <w:rFonts w:asciiTheme="minorEastAsia" w:hAnsiTheme="minorEastAsia" w:eastAsiaTheme="minorEastAsia" w:cstheme="minorEastAsia"/>
          <w:spacing w:val="8"/>
          <w:szCs w:val="21"/>
        </w:rPr>
      </w:pPr>
      <w:r>
        <w:rPr>
          <w:rFonts w:hint="eastAsia" w:asciiTheme="minorEastAsia" w:hAnsiTheme="minorEastAsia" w:eastAsiaTheme="minorEastAsia" w:cstheme="minorEastAsia"/>
          <w:spacing w:val="8"/>
          <w:szCs w:val="21"/>
        </w:rPr>
        <w:t>日    期：</w:t>
      </w:r>
      <w:r>
        <w:rPr>
          <w:rFonts w:hint="eastAsia" w:asciiTheme="minorEastAsia" w:hAnsiTheme="minorEastAsia" w:eastAsiaTheme="minorEastAsia" w:cstheme="minorEastAsia"/>
          <w:szCs w:val="21"/>
        </w:rPr>
        <w:t>年月日</w:t>
      </w:r>
    </w:p>
    <w:p>
      <w:pPr>
        <w:wordWrap w:val="0"/>
        <w:autoSpaceDE w:val="0"/>
        <w:autoSpaceDN w:val="0"/>
        <w:adjustRightInd w:val="0"/>
        <w:spacing w:line="480" w:lineRule="auto"/>
        <w:ind w:right="1080" w:firstLine="420" w:firstLineChars="200"/>
        <w:jc w:val="center"/>
        <w:rPr>
          <w:rFonts w:asciiTheme="minorEastAsia" w:hAnsiTheme="minorEastAsia" w:eastAsiaTheme="minorEastAsia" w:cstheme="minorEastAsia"/>
        </w:rPr>
      </w:pPr>
    </w:p>
    <w:p>
      <w:pPr>
        <w:spacing w:line="361" w:lineRule="exact"/>
        <w:ind w:firstLine="3780" w:firstLineChars="1800"/>
        <w:rPr>
          <w:rFonts w:asciiTheme="minorEastAsia" w:hAnsiTheme="minorEastAsia" w:eastAsiaTheme="minorEastAsia" w:cstheme="minorEastAsia"/>
        </w:rPr>
      </w:pPr>
    </w:p>
    <w:p>
      <w:pPr>
        <w:spacing w:line="361" w:lineRule="exact"/>
        <w:ind w:firstLine="3780" w:firstLineChars="1800"/>
        <w:rPr>
          <w:rFonts w:asciiTheme="minorEastAsia" w:hAnsiTheme="minorEastAsia" w:eastAsiaTheme="minorEastAsia" w:cstheme="minorEastAsia"/>
        </w:rPr>
      </w:pPr>
    </w:p>
    <w:p>
      <w:pPr>
        <w:spacing w:line="361" w:lineRule="exact"/>
        <w:ind w:firstLine="3780" w:firstLineChars="1800"/>
        <w:rPr>
          <w:rFonts w:asciiTheme="minorEastAsia" w:hAnsiTheme="minorEastAsia" w:eastAsiaTheme="minorEastAsia" w:cstheme="minorEastAsia"/>
        </w:rPr>
      </w:pPr>
    </w:p>
    <w:p>
      <w:pPr>
        <w:spacing w:line="361" w:lineRule="exact"/>
        <w:ind w:firstLine="3780" w:firstLineChars="1800"/>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4"/>
        <w:rPr>
          <w:rFonts w:asciiTheme="minorEastAsia" w:hAnsiTheme="minorEastAsia" w:eastAsiaTheme="minorEastAsia" w:cstheme="minorEastAsia"/>
          <w:b w:val="0"/>
        </w:rPr>
      </w:pPr>
      <w:bookmarkStart w:id="133" w:name="_Toc25115"/>
      <w:r>
        <w:rPr>
          <w:rFonts w:hint="eastAsia" w:asciiTheme="minorEastAsia" w:hAnsiTheme="minorEastAsia" w:eastAsiaTheme="minorEastAsia" w:cstheme="minorEastAsia"/>
        </w:rPr>
        <w:br w:type="page"/>
      </w:r>
      <w:bookmarkStart w:id="134" w:name="_Toc5382"/>
      <w:bookmarkStart w:id="135" w:name="_Toc28265"/>
      <w:r>
        <w:rPr>
          <w:rStyle w:val="63"/>
          <w:rFonts w:hint="eastAsia" w:asciiTheme="minorEastAsia" w:hAnsiTheme="minorEastAsia" w:eastAsiaTheme="minorEastAsia" w:cstheme="minorEastAsia"/>
          <w:b/>
        </w:rPr>
        <w:t>十、中小企业声明函</w:t>
      </w:r>
      <w:bookmarkEnd w:id="134"/>
      <w:bookmarkEnd w:id="135"/>
    </w:p>
    <w:p>
      <w:pPr>
        <w:widowControl/>
        <w:spacing w:line="520" w:lineRule="exact"/>
        <w:ind w:firstLine="460"/>
        <w:jc w:val="left"/>
        <w:rPr>
          <w:rFonts w:asciiTheme="minorEastAsia" w:hAnsiTheme="minorEastAsia" w:eastAsiaTheme="minorEastAsia" w:cstheme="minorEastAsia"/>
          <w:kern w:val="0"/>
          <w:szCs w:val="21"/>
        </w:rPr>
      </w:pPr>
      <w:bookmarkStart w:id="136" w:name="_Toc22161"/>
      <w:bookmarkStart w:id="137" w:name="_Toc19914"/>
      <w:r>
        <w:rPr>
          <w:rFonts w:hint="eastAsia" w:asciiTheme="minorEastAsia" w:hAnsiTheme="minorEastAsia" w:eastAsiaTheme="minorEastAsia" w:cstheme="minorEastAsia"/>
          <w:kern w:val="0"/>
          <w:szCs w:val="21"/>
        </w:rPr>
        <w:t>本公司（联合体）郑重声明，根据《政府采购促进中小企业发展管理办法》（财库[2020]46号）的规定，本公司（联合体）参加</w:t>
      </w:r>
      <w:r>
        <w:rPr>
          <w:rFonts w:hint="eastAsia" w:asciiTheme="minorEastAsia" w:hAnsiTheme="minorEastAsia" w:eastAsiaTheme="minorEastAsia" w:cstheme="minorEastAsia"/>
          <w:kern w:val="0"/>
          <w:szCs w:val="21"/>
          <w:u w:val="single"/>
        </w:rPr>
        <w:t>（单位名称）</w:t>
      </w:r>
      <w:r>
        <w:rPr>
          <w:rFonts w:hint="eastAsia" w:asciiTheme="minorEastAsia" w:hAnsiTheme="minorEastAsia" w:eastAsiaTheme="minorEastAsia" w:cstheme="minorEastAsia"/>
          <w:kern w:val="0"/>
          <w:szCs w:val="21"/>
        </w:rPr>
        <w:t>的</w:t>
      </w:r>
      <w:r>
        <w:rPr>
          <w:rFonts w:hint="eastAsia" w:asciiTheme="minorEastAsia" w:hAnsiTheme="minorEastAsia" w:eastAsiaTheme="minorEastAsia" w:cstheme="minorEastAsia"/>
          <w:kern w:val="0"/>
          <w:szCs w:val="21"/>
          <w:u w:val="single"/>
        </w:rPr>
        <w:t>（项目名称）</w:t>
      </w:r>
      <w:r>
        <w:rPr>
          <w:rFonts w:hint="eastAsia" w:asciiTheme="minorEastAsia" w:hAnsiTheme="minorEastAsia" w:eastAsiaTheme="minorEastAsia" w:cstheme="minorEastAsia"/>
          <w:kern w:val="0"/>
          <w:szCs w:val="21"/>
        </w:rPr>
        <w:t>采购活动，提供的货物全部由符合政策要求的中小企业制造。相关企业（含联合体中的中小企业、签订分包意向协议的中小企业）的具体情况如下：</w:t>
      </w:r>
    </w:p>
    <w:p>
      <w:pPr>
        <w:widowControl/>
        <w:spacing w:line="520" w:lineRule="exact"/>
        <w:ind w:firstLine="460"/>
        <w:jc w:val="left"/>
        <w:rPr>
          <w:rFonts w:asciiTheme="minorEastAsia" w:hAnsiTheme="minorEastAsia" w:eastAsiaTheme="minorEastAsia" w:cstheme="minorEastAsia"/>
          <w:kern w:val="0"/>
          <w:szCs w:val="21"/>
        </w:rPr>
      </w:pPr>
    </w:p>
    <w:p>
      <w:pPr>
        <w:widowControl/>
        <w:spacing w:line="520" w:lineRule="exact"/>
        <w:ind w:firstLine="46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　　1.</w:t>
      </w:r>
      <w:r>
        <w:rPr>
          <w:rFonts w:hint="eastAsia" w:asciiTheme="minorEastAsia" w:hAnsiTheme="minorEastAsia" w:eastAsiaTheme="minorEastAsia" w:cstheme="minorEastAsia"/>
          <w:kern w:val="0"/>
          <w:szCs w:val="21"/>
          <w:u w:val="single"/>
        </w:rPr>
        <w:t>（标的名称）</w:t>
      </w:r>
      <w:r>
        <w:rPr>
          <w:rFonts w:hint="eastAsia" w:asciiTheme="minorEastAsia" w:hAnsiTheme="minorEastAsia" w:eastAsiaTheme="minorEastAsia" w:cstheme="minorEastAsia"/>
          <w:kern w:val="0"/>
          <w:szCs w:val="21"/>
        </w:rPr>
        <w:t>，属于</w:t>
      </w:r>
      <w:r>
        <w:rPr>
          <w:rFonts w:hint="eastAsia" w:asciiTheme="minorEastAsia" w:hAnsiTheme="minorEastAsia" w:eastAsiaTheme="minorEastAsia" w:cstheme="minorEastAsia"/>
          <w:kern w:val="0"/>
          <w:szCs w:val="21"/>
          <w:u w:val="single"/>
        </w:rPr>
        <w:t>（采购文件中明确的所属行业）行业</w:t>
      </w:r>
      <w:r>
        <w:rPr>
          <w:rFonts w:hint="eastAsia" w:asciiTheme="minorEastAsia" w:hAnsiTheme="minorEastAsia" w:eastAsiaTheme="minorEastAsia" w:cstheme="minorEastAsia"/>
          <w:kern w:val="0"/>
          <w:szCs w:val="21"/>
        </w:rPr>
        <w:t>；制造商为</w:t>
      </w:r>
      <w:r>
        <w:rPr>
          <w:rFonts w:hint="eastAsia" w:asciiTheme="minorEastAsia" w:hAnsiTheme="minorEastAsia" w:eastAsiaTheme="minorEastAsia" w:cstheme="minorEastAsia"/>
          <w:kern w:val="0"/>
          <w:szCs w:val="21"/>
          <w:u w:val="single"/>
        </w:rPr>
        <w:t>（企业名称）</w:t>
      </w:r>
      <w:r>
        <w:rPr>
          <w:rFonts w:hint="eastAsia" w:asciiTheme="minorEastAsia" w:hAnsiTheme="minorEastAsia" w:eastAsiaTheme="minorEastAsia" w:cstheme="minorEastAsia"/>
          <w:kern w:val="0"/>
          <w:szCs w:val="21"/>
        </w:rPr>
        <w:t>，从业人员人，营业收入为万元，资产总额为万元，属于</w:t>
      </w:r>
      <w:r>
        <w:rPr>
          <w:rFonts w:hint="eastAsia" w:asciiTheme="minorEastAsia" w:hAnsiTheme="minorEastAsia" w:eastAsiaTheme="minorEastAsia" w:cstheme="minorEastAsia"/>
          <w:kern w:val="0"/>
          <w:szCs w:val="21"/>
          <w:u w:val="single"/>
        </w:rPr>
        <w:t>（中型企业、小型企业、微型企业）</w:t>
      </w:r>
      <w:r>
        <w:rPr>
          <w:rFonts w:hint="eastAsia" w:asciiTheme="minorEastAsia" w:hAnsiTheme="minorEastAsia" w:eastAsiaTheme="minorEastAsia" w:cstheme="minorEastAsia"/>
          <w:kern w:val="0"/>
          <w:szCs w:val="21"/>
        </w:rPr>
        <w:t>；</w:t>
      </w:r>
    </w:p>
    <w:p>
      <w:pPr>
        <w:widowControl/>
        <w:spacing w:line="520" w:lineRule="exact"/>
        <w:ind w:firstLine="46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w:t>
      </w:r>
      <w:r>
        <w:rPr>
          <w:rFonts w:hint="eastAsia" w:asciiTheme="minorEastAsia" w:hAnsiTheme="minorEastAsia" w:eastAsiaTheme="minorEastAsia" w:cstheme="minorEastAsia"/>
          <w:kern w:val="0"/>
          <w:szCs w:val="21"/>
          <w:u w:val="single"/>
        </w:rPr>
        <w:t>（标的名称）</w:t>
      </w:r>
      <w:r>
        <w:rPr>
          <w:rFonts w:hint="eastAsia" w:asciiTheme="minorEastAsia" w:hAnsiTheme="minorEastAsia" w:eastAsiaTheme="minorEastAsia" w:cstheme="minorEastAsia"/>
          <w:kern w:val="0"/>
          <w:szCs w:val="21"/>
        </w:rPr>
        <w:t>，属于</w:t>
      </w:r>
      <w:r>
        <w:rPr>
          <w:rFonts w:hint="eastAsia" w:asciiTheme="minorEastAsia" w:hAnsiTheme="minorEastAsia" w:eastAsiaTheme="minorEastAsia" w:cstheme="minorEastAsia"/>
          <w:kern w:val="0"/>
          <w:szCs w:val="21"/>
          <w:u w:val="single"/>
        </w:rPr>
        <w:t>（采购文件中明确的所属行业）行业</w:t>
      </w:r>
      <w:r>
        <w:rPr>
          <w:rFonts w:hint="eastAsia" w:asciiTheme="minorEastAsia" w:hAnsiTheme="minorEastAsia" w:eastAsiaTheme="minorEastAsia" w:cstheme="minorEastAsia"/>
          <w:kern w:val="0"/>
          <w:szCs w:val="21"/>
        </w:rPr>
        <w:t>；制造商为</w:t>
      </w:r>
      <w:r>
        <w:rPr>
          <w:rFonts w:hint="eastAsia" w:asciiTheme="minorEastAsia" w:hAnsiTheme="minorEastAsia" w:eastAsiaTheme="minorEastAsia" w:cstheme="minorEastAsia"/>
          <w:kern w:val="0"/>
          <w:szCs w:val="21"/>
          <w:u w:val="single"/>
        </w:rPr>
        <w:t>（企业名称）</w:t>
      </w:r>
      <w:r>
        <w:rPr>
          <w:rFonts w:hint="eastAsia" w:asciiTheme="minorEastAsia" w:hAnsiTheme="minorEastAsia" w:eastAsiaTheme="minorEastAsia" w:cstheme="minorEastAsia"/>
          <w:kern w:val="0"/>
          <w:szCs w:val="21"/>
        </w:rPr>
        <w:t>，从业人员人，营业收入为万元，资产总额为万元，属于</w:t>
      </w:r>
      <w:r>
        <w:rPr>
          <w:rFonts w:hint="eastAsia" w:asciiTheme="minorEastAsia" w:hAnsiTheme="minorEastAsia" w:eastAsiaTheme="minorEastAsia" w:cstheme="minorEastAsia"/>
          <w:kern w:val="0"/>
          <w:szCs w:val="21"/>
          <w:u w:val="single"/>
        </w:rPr>
        <w:t>(中型企业、小型企业、微型企业）</w:t>
      </w:r>
      <w:r>
        <w:rPr>
          <w:rFonts w:hint="eastAsia" w:asciiTheme="minorEastAsia" w:hAnsiTheme="minorEastAsia" w:eastAsiaTheme="minorEastAsia" w:cstheme="minorEastAsia"/>
          <w:kern w:val="0"/>
          <w:szCs w:val="21"/>
        </w:rPr>
        <w:t>；</w:t>
      </w:r>
    </w:p>
    <w:p>
      <w:pPr>
        <w:widowControl/>
        <w:spacing w:line="520" w:lineRule="exact"/>
        <w:ind w:firstLine="46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w:t>
      </w:r>
    </w:p>
    <w:p>
      <w:pPr>
        <w:widowControl/>
        <w:spacing w:line="520" w:lineRule="exact"/>
        <w:ind w:firstLine="46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以上企业，不属于大企业的分支机构，不存在控股股东为大企业的情形，也不存在与大企业的负责人为同一人的情形。</w:t>
      </w:r>
    </w:p>
    <w:p>
      <w:pPr>
        <w:pStyle w:val="11"/>
        <w:ind w:left="-259"/>
        <w:rPr>
          <w:rFonts w:asciiTheme="minorEastAsia" w:hAnsiTheme="minorEastAsia" w:eastAsiaTheme="minorEastAsia" w:cstheme="minorEastAsia"/>
          <w:szCs w:val="21"/>
        </w:rPr>
      </w:pPr>
    </w:p>
    <w:p>
      <w:pPr>
        <w:widowControl/>
        <w:spacing w:line="520" w:lineRule="exact"/>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　　本企业对上述声明内容的真实性负责。如有虚假，将依法承担相应责任。</w:t>
      </w:r>
    </w:p>
    <w:p>
      <w:pPr>
        <w:widowControl/>
        <w:spacing w:line="520" w:lineRule="exact"/>
        <w:ind w:firstLine="4095" w:firstLineChars="1950"/>
        <w:rPr>
          <w:rFonts w:asciiTheme="minorEastAsia" w:hAnsiTheme="minorEastAsia" w:eastAsiaTheme="minorEastAsia" w:cstheme="minorEastAsia"/>
          <w:kern w:val="0"/>
          <w:szCs w:val="21"/>
        </w:rPr>
      </w:pPr>
    </w:p>
    <w:p>
      <w:pPr>
        <w:widowControl/>
        <w:spacing w:line="480" w:lineRule="auto"/>
        <w:ind w:firstLine="4095" w:firstLineChars="195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企业名称（</w:t>
      </w:r>
      <w:r>
        <w:rPr>
          <w:rFonts w:hint="eastAsia" w:asciiTheme="minorEastAsia" w:hAnsiTheme="minorEastAsia" w:eastAsiaTheme="minorEastAsia" w:cstheme="minorEastAsia"/>
          <w:bCs/>
          <w:szCs w:val="21"/>
          <w:lang w:val="zh-CN"/>
        </w:rPr>
        <w:t>盖单位</w:t>
      </w:r>
      <w:r>
        <w:rPr>
          <w:rFonts w:hint="eastAsia" w:asciiTheme="minorEastAsia" w:hAnsiTheme="minorEastAsia" w:eastAsiaTheme="minorEastAsia" w:cstheme="minorEastAsia"/>
          <w:bCs/>
          <w:szCs w:val="21"/>
        </w:rPr>
        <w:t>公章</w:t>
      </w:r>
      <w:r>
        <w:rPr>
          <w:rFonts w:hint="eastAsia" w:asciiTheme="minorEastAsia" w:hAnsiTheme="minorEastAsia" w:eastAsiaTheme="minorEastAsia" w:cstheme="minorEastAsia"/>
          <w:kern w:val="0"/>
          <w:szCs w:val="21"/>
        </w:rPr>
        <w:t>）：</w:t>
      </w:r>
    </w:p>
    <w:p>
      <w:pPr>
        <w:widowControl/>
        <w:spacing w:line="520" w:lineRule="exact"/>
        <w:ind w:firstLine="4095" w:firstLineChars="195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日  期：</w:t>
      </w:r>
    </w:p>
    <w:p>
      <w:pPr>
        <w:pStyle w:val="61"/>
        <w:tabs>
          <w:tab w:val="left" w:pos="1158"/>
          <w:tab w:val="left" w:pos="1544"/>
        </w:tabs>
        <w:ind w:left="0" w:leftChars="0" w:firstLine="0" w:firstLineChars="0"/>
        <w:rPr>
          <w:rFonts w:asciiTheme="minorEastAsia" w:hAnsiTheme="minorEastAsia" w:eastAsiaTheme="minorEastAsia" w:cstheme="minorEastAsia"/>
          <w:szCs w:val="21"/>
        </w:rPr>
      </w:pPr>
    </w:p>
    <w:p>
      <w:pPr>
        <w:pStyle w:val="11"/>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注：从业人员、营业收入、资产总额填报上一年度数据，无上一年度数据的新成立企业可不填报.</w:t>
      </w:r>
    </w:p>
    <w:p>
      <w:pPr>
        <w:pStyle w:val="4"/>
        <w:rPr>
          <w:rFonts w:asciiTheme="minorEastAsia" w:hAnsiTheme="minorEastAsia" w:eastAsiaTheme="minorEastAsia" w:cstheme="minorEastAsia"/>
          <w:b w:val="0"/>
        </w:rPr>
      </w:pPr>
      <w:r>
        <w:rPr>
          <w:rStyle w:val="63"/>
          <w:rFonts w:hint="eastAsia" w:asciiTheme="minorEastAsia" w:hAnsiTheme="minorEastAsia" w:eastAsiaTheme="minorEastAsia" w:cstheme="minorEastAsia"/>
          <w:b/>
          <w:sz w:val="21"/>
          <w:szCs w:val="21"/>
        </w:rPr>
        <w:br w:type="page"/>
      </w:r>
      <w:r>
        <w:rPr>
          <w:rStyle w:val="63"/>
          <w:rFonts w:hint="eastAsia" w:asciiTheme="minorEastAsia" w:hAnsiTheme="minorEastAsia" w:eastAsiaTheme="minorEastAsia" w:cstheme="minorEastAsia"/>
          <w:b/>
        </w:rPr>
        <w:t>十一、资格证明文件</w:t>
      </w:r>
      <w:bookmarkEnd w:id="133"/>
      <w:bookmarkEnd w:id="136"/>
      <w:bookmarkEnd w:id="137"/>
    </w:p>
    <w:p>
      <w:pPr>
        <w:widowControl/>
        <w:spacing w:line="360" w:lineRule="auto"/>
        <w:jc w:val="left"/>
        <w:rPr>
          <w:rFonts w:asciiTheme="minorEastAsia" w:hAnsiTheme="minorEastAsia" w:eastAsiaTheme="minorEastAsia" w:cstheme="minorEastAsia"/>
          <w:kern w:val="0"/>
          <w:szCs w:val="21"/>
        </w:rPr>
      </w:pPr>
      <w:bookmarkStart w:id="138" w:name="_Toc17200"/>
      <w:r>
        <w:rPr>
          <w:rFonts w:hint="eastAsia" w:asciiTheme="minorEastAsia" w:hAnsiTheme="minorEastAsia" w:eastAsiaTheme="minorEastAsia" w:cstheme="minorEastAsia"/>
          <w:kern w:val="0"/>
          <w:szCs w:val="21"/>
        </w:rPr>
        <w:t>投标人应当具备政府采购法第二十二条第一款规定的条件，并提供下列材料：</w:t>
      </w:r>
    </w:p>
    <w:p>
      <w:pPr>
        <w:widowControl/>
        <w:spacing w:line="360" w:lineRule="auto"/>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1、在中华人民共和国境内合法注册的，须具有独立法人资格或其他组织，提供有效的营业执照或其他证明材料；</w:t>
      </w:r>
    </w:p>
    <w:p>
      <w:pPr>
        <w:widowControl/>
        <w:spacing w:line="360" w:lineRule="auto"/>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2、具有良好的商业信誉和健全的财务会计制度，提供上一年度经审验的财务年审报告，成立时间较短不能提供的，应提交开户银行出具的资信证明；</w:t>
      </w:r>
    </w:p>
    <w:p>
      <w:pPr>
        <w:widowControl/>
        <w:spacing w:line="360" w:lineRule="auto"/>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3、具有履行合同所必需的设备和专业技术能力，提供声明函，格式自拟；</w:t>
      </w:r>
    </w:p>
    <w:p>
      <w:pPr>
        <w:widowControl/>
        <w:spacing w:line="360" w:lineRule="auto"/>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4、有依法缴纳税收和社会保障资金的良好记录，提供近三个月以来任意一个月缴纳税收和社会保险的申报证明材料；</w:t>
      </w:r>
    </w:p>
    <w:p>
      <w:pPr>
        <w:widowControl/>
        <w:spacing w:line="360" w:lineRule="auto"/>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5、参加政府采购活动前三年内，在经营活动中没有重大违法记录，提供声明函，格式自拟；</w:t>
      </w:r>
    </w:p>
    <w:p>
      <w:pPr>
        <w:widowControl/>
        <w:spacing w:line="360" w:lineRule="auto"/>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6、单位负责人为同一人或者存在控股关系、参股关系、管理关系的不同单位，不得参加同一标段投标或未划分标段的同一招标项目投标，提供声明函；</w:t>
      </w:r>
    </w:p>
    <w:p>
      <w:pPr>
        <w:widowControl/>
        <w:spacing w:line="360" w:lineRule="auto"/>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7、根据《关于在政府采购活动中查询及使用信用记录有关问题的通知》(财库[2016]125号)的规定，对列入失信被执行人、税收违法黑名单、政府采购严重违法失信行为记录名单的投标投标人，拒绝参与本项目政府采购活动；采购人或代理机构查询渠道：失信被执行人通过“中国执行信息公开网”网站查询；税收违法黑名单通过“信用中国”网站查询；政府采购严重违法失信行为通过“中国政府采购网”查询；</w:t>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Cs w:val="21"/>
        </w:rPr>
        <w:t>8、本项目不接受联合体投标。</w:t>
      </w:r>
    </w:p>
    <w:p>
      <w:pPr>
        <w:spacing w:line="360" w:lineRule="auto"/>
        <w:outlineLvl w:val="1"/>
        <w:rPr>
          <w:rFonts w:asciiTheme="minorEastAsia" w:hAnsiTheme="minorEastAsia" w:eastAsiaTheme="minorEastAsia" w:cstheme="minorEastAsia"/>
          <w:b/>
        </w:rPr>
      </w:pPr>
      <w:r>
        <w:rPr>
          <w:rFonts w:hint="eastAsia" w:asciiTheme="minorEastAsia" w:hAnsiTheme="minorEastAsia" w:eastAsiaTheme="minorEastAsia" w:cstheme="minorEastAsia"/>
        </w:rPr>
        <w:br w:type="page"/>
      </w:r>
      <w:bookmarkStart w:id="139" w:name="_Toc7710"/>
      <w:bookmarkStart w:id="140" w:name="_Toc7248"/>
      <w:r>
        <w:rPr>
          <w:rStyle w:val="63"/>
          <w:rFonts w:hint="eastAsia" w:asciiTheme="minorEastAsia" w:hAnsiTheme="minorEastAsia" w:eastAsiaTheme="minorEastAsia" w:cstheme="minorEastAsia"/>
        </w:rPr>
        <w:t>十二 、投标人认为需要提供的其他材料</w:t>
      </w:r>
      <w:bookmarkEnd w:id="138"/>
      <w:bookmarkEnd w:id="139"/>
      <w:bookmarkEnd w:id="140"/>
    </w:p>
    <w:p>
      <w:pPr>
        <w:spacing w:line="360" w:lineRule="auto"/>
        <w:rPr>
          <w:rStyle w:val="63"/>
          <w:rFonts w:asciiTheme="minorEastAsia" w:hAnsiTheme="minorEastAsia" w:eastAsiaTheme="minorEastAsia" w:cstheme="minorEastAsia"/>
        </w:rPr>
      </w:pPr>
    </w:p>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p>
    <w:p>
      <w:pPr>
        <w:pStyle w:val="28"/>
        <w:tabs>
          <w:tab w:val="left" w:pos="1158"/>
          <w:tab w:val="left" w:pos="1544"/>
          <w:tab w:val="clear" w:pos="945"/>
          <w:tab w:val="clear" w:pos="1155"/>
        </w:tabs>
        <w:rPr>
          <w:rFonts w:asciiTheme="minorEastAsia" w:hAnsiTheme="minorEastAsia" w:eastAsiaTheme="minorEastAsia" w:cstheme="minorEastAsia"/>
        </w:rPr>
      </w:pPr>
    </w:p>
    <w:p>
      <w:pPr>
        <w:pStyle w:val="28"/>
        <w:tabs>
          <w:tab w:val="left" w:pos="1158"/>
          <w:tab w:val="left" w:pos="1544"/>
          <w:tab w:val="clear" w:pos="945"/>
          <w:tab w:val="clear" w:pos="1155"/>
        </w:tabs>
        <w:rPr>
          <w:rFonts w:asciiTheme="minorEastAsia" w:hAnsiTheme="minorEastAsia" w:eastAsiaTheme="minorEastAsia" w:cstheme="minorEastAsia"/>
        </w:rPr>
      </w:pPr>
    </w:p>
    <w:p>
      <w:pPr>
        <w:pStyle w:val="28"/>
        <w:tabs>
          <w:tab w:val="left" w:pos="1158"/>
          <w:tab w:val="left" w:pos="1544"/>
          <w:tab w:val="clear" w:pos="945"/>
          <w:tab w:val="clear" w:pos="1155"/>
        </w:tabs>
        <w:rPr>
          <w:rFonts w:asciiTheme="minorEastAsia" w:hAnsiTheme="minorEastAsia" w:eastAsiaTheme="minorEastAsia" w:cstheme="minorEastAsia"/>
        </w:rPr>
      </w:pPr>
    </w:p>
    <w:p>
      <w:pPr>
        <w:pStyle w:val="28"/>
        <w:tabs>
          <w:tab w:val="left" w:pos="1158"/>
          <w:tab w:val="left" w:pos="1544"/>
          <w:tab w:val="clear" w:pos="945"/>
          <w:tab w:val="clear" w:pos="1155"/>
        </w:tabs>
        <w:rPr>
          <w:rFonts w:asciiTheme="minorEastAsia" w:hAnsiTheme="minorEastAsia" w:eastAsiaTheme="minorEastAsia" w:cstheme="minorEastAsia"/>
        </w:rPr>
      </w:pPr>
    </w:p>
    <w:p>
      <w:pPr>
        <w:pStyle w:val="28"/>
        <w:tabs>
          <w:tab w:val="left" w:pos="1158"/>
          <w:tab w:val="left" w:pos="1544"/>
          <w:tab w:val="clear" w:pos="945"/>
          <w:tab w:val="clear" w:pos="1155"/>
        </w:tabs>
        <w:rPr>
          <w:rFonts w:asciiTheme="minorEastAsia" w:hAnsiTheme="minorEastAsia" w:eastAsiaTheme="minorEastAsia" w:cstheme="minorEastAsia"/>
        </w:rPr>
      </w:pPr>
    </w:p>
    <w:p>
      <w:pPr>
        <w:pStyle w:val="28"/>
        <w:tabs>
          <w:tab w:val="left" w:pos="1158"/>
          <w:tab w:val="left" w:pos="1544"/>
          <w:tab w:val="clear" w:pos="945"/>
          <w:tab w:val="clear" w:pos="1155"/>
        </w:tabs>
        <w:rPr>
          <w:rFonts w:asciiTheme="minorEastAsia" w:hAnsiTheme="minorEastAsia" w:eastAsiaTheme="minorEastAsia" w:cstheme="minorEastAsia"/>
        </w:rPr>
      </w:pPr>
    </w:p>
    <w:p>
      <w:pPr>
        <w:wordWrap w:val="0"/>
        <w:autoSpaceDE w:val="0"/>
        <w:autoSpaceDN w:val="0"/>
        <w:adjustRightInd w:val="0"/>
        <w:spacing w:line="480" w:lineRule="auto"/>
        <w:ind w:right="1080" w:firstLine="480" w:firstLineChars="200"/>
        <w:jc w:val="center"/>
        <w:rPr>
          <w:rFonts w:asciiTheme="minorEastAsia" w:hAnsiTheme="minorEastAsia" w:eastAsiaTheme="minorEastAsia" w:cstheme="minorEastAsia"/>
          <w:bCs/>
          <w:sz w:val="24"/>
          <w:lang w:val="zh-CN"/>
        </w:rPr>
      </w:pPr>
    </w:p>
    <w:p>
      <w:pPr>
        <w:wordWrap w:val="0"/>
        <w:autoSpaceDE w:val="0"/>
        <w:autoSpaceDN w:val="0"/>
        <w:adjustRightInd w:val="0"/>
        <w:spacing w:line="480" w:lineRule="auto"/>
        <w:ind w:right="1080" w:firstLine="480" w:firstLineChars="200"/>
        <w:jc w:val="center"/>
        <w:rPr>
          <w:rFonts w:asciiTheme="minorEastAsia" w:hAnsiTheme="minorEastAsia" w:eastAsiaTheme="minorEastAsia" w:cstheme="minorEastAsia"/>
          <w:bCs/>
          <w:sz w:val="24"/>
          <w:lang w:val="zh-CN"/>
        </w:rPr>
      </w:pPr>
    </w:p>
    <w:p>
      <w:pPr>
        <w:wordWrap w:val="0"/>
        <w:autoSpaceDE w:val="0"/>
        <w:autoSpaceDN w:val="0"/>
        <w:adjustRightInd w:val="0"/>
        <w:spacing w:line="480" w:lineRule="auto"/>
        <w:ind w:right="-58" w:firstLine="420" w:firstLineChars="20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lang w:val="zh-CN"/>
        </w:rPr>
        <w:t>投标人（盖单位电子签章）:</w:t>
      </w:r>
    </w:p>
    <w:p>
      <w:pPr>
        <w:wordWrap w:val="0"/>
        <w:autoSpaceDE w:val="0"/>
        <w:autoSpaceDN w:val="0"/>
        <w:adjustRightInd w:val="0"/>
        <w:spacing w:line="480" w:lineRule="auto"/>
        <w:ind w:right="651" w:firstLine="2415" w:firstLineChars="1150"/>
        <w:rPr>
          <w:rFonts w:asciiTheme="minorEastAsia" w:hAnsiTheme="minorEastAsia" w:eastAsiaTheme="minorEastAsia" w:cstheme="minorEastAsia"/>
          <w:bCs/>
          <w:szCs w:val="21"/>
          <w:u w:val="single"/>
          <w:lang w:val="zh-CN"/>
        </w:rPr>
      </w:pPr>
      <w:r>
        <w:rPr>
          <w:rFonts w:hint="eastAsia" w:asciiTheme="minorEastAsia" w:hAnsiTheme="minorEastAsia" w:eastAsiaTheme="minorEastAsia" w:cstheme="minorEastAsia"/>
          <w:kern w:val="0"/>
          <w:szCs w:val="21"/>
        </w:rPr>
        <w:t>法定代表人</w:t>
      </w:r>
      <w:r>
        <w:rPr>
          <w:rFonts w:hint="eastAsia" w:asciiTheme="minorEastAsia" w:hAnsiTheme="minorEastAsia" w:eastAsiaTheme="minorEastAsia" w:cstheme="minorEastAsia"/>
          <w:bCs/>
          <w:szCs w:val="21"/>
          <w:lang w:val="zh-CN"/>
        </w:rPr>
        <w:t>（盖</w:t>
      </w:r>
      <w:r>
        <w:rPr>
          <w:rFonts w:hint="eastAsia" w:asciiTheme="minorEastAsia" w:hAnsiTheme="minorEastAsia" w:eastAsiaTheme="minorEastAsia" w:cstheme="minorEastAsia"/>
          <w:bCs/>
          <w:szCs w:val="21"/>
        </w:rPr>
        <w:t>个人</w:t>
      </w:r>
      <w:r>
        <w:rPr>
          <w:rFonts w:hint="eastAsia" w:asciiTheme="minorEastAsia" w:hAnsiTheme="minorEastAsia" w:eastAsiaTheme="minorEastAsia" w:cstheme="minorEastAsia"/>
          <w:bCs/>
          <w:szCs w:val="21"/>
          <w:lang w:val="zh-CN"/>
        </w:rPr>
        <w:t>电子签章）</w:t>
      </w:r>
      <w:r>
        <w:rPr>
          <w:rFonts w:hint="eastAsia" w:asciiTheme="minorEastAsia" w:hAnsiTheme="minorEastAsia" w:eastAsiaTheme="minorEastAsia" w:cstheme="minorEastAsia"/>
          <w:kern w:val="0"/>
          <w:szCs w:val="21"/>
        </w:rPr>
        <w:t>：</w:t>
      </w:r>
    </w:p>
    <w:p>
      <w:pPr>
        <w:wordWrap w:val="0"/>
        <w:spacing w:line="480" w:lineRule="auto"/>
        <w:ind w:right="113" w:firstLine="2486" w:firstLineChars="1100"/>
        <w:rPr>
          <w:rFonts w:asciiTheme="minorEastAsia" w:hAnsiTheme="minorEastAsia" w:eastAsiaTheme="minorEastAsia" w:cstheme="minorEastAsia"/>
          <w:spacing w:val="8"/>
          <w:szCs w:val="21"/>
        </w:rPr>
      </w:pPr>
      <w:r>
        <w:rPr>
          <w:rFonts w:hint="eastAsia" w:asciiTheme="minorEastAsia" w:hAnsiTheme="minorEastAsia" w:eastAsiaTheme="minorEastAsia" w:cstheme="minorEastAsia"/>
          <w:spacing w:val="8"/>
          <w:szCs w:val="21"/>
        </w:rPr>
        <w:t>日    期：</w:t>
      </w:r>
      <w:r>
        <w:rPr>
          <w:rFonts w:hint="eastAsia" w:asciiTheme="minorEastAsia" w:hAnsiTheme="minorEastAsia" w:eastAsiaTheme="minorEastAsia" w:cstheme="minorEastAsia"/>
          <w:szCs w:val="21"/>
        </w:rPr>
        <w:t>年月日</w:t>
      </w:r>
    </w:p>
    <w:p>
      <w:pPr>
        <w:pStyle w:val="28"/>
        <w:tabs>
          <w:tab w:val="left" w:pos="1158"/>
          <w:tab w:val="left" w:pos="1544"/>
          <w:tab w:val="clear" w:pos="945"/>
          <w:tab w:val="clear" w:pos="1155"/>
        </w:tabs>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8"/>
        <w:tabs>
          <w:tab w:val="left" w:pos="1158"/>
          <w:tab w:val="left" w:pos="1544"/>
          <w:tab w:val="clear" w:pos="945"/>
          <w:tab w:val="clear" w:pos="1155"/>
        </w:tabs>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sectPr>
      <w:headerReference r:id="rId15" w:type="default"/>
      <w:footerReference r:id="rId16" w:type="default"/>
      <w:pgSz w:w="11906" w:h="16838"/>
      <w:pgMar w:top="1440" w:right="1274"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Arial Unicode MS">
    <w:altName w:val="Malgun Gothic Semilight"/>
    <w:panose1 w:val="020B0604020202020204"/>
    <w:charset w:val="86"/>
    <w:family w:val="swiss"/>
    <w:pitch w:val="default"/>
    <w:sig w:usb0="00000000" w:usb1="00000000" w:usb2="0000003F" w:usb3="00000000" w:csb0="003F01FF" w:csb1="00000000"/>
  </w:font>
  <w:font w:name="Malgun Gothic Semilight">
    <w:panose1 w:val="020B0502040204020203"/>
    <w:charset w:val="86"/>
    <w:family w:val="auto"/>
    <w:pitch w:val="default"/>
    <w:sig w:usb0="900002AF" w:usb1="01D77CFB" w:usb2="00000012" w:usb3="00000000" w:csb0="203E01BD" w:csb1="D7FF0000"/>
  </w:font>
  <w:font w:name="汉仪中等线简">
    <w:altName w:val="宋体"/>
    <w:panose1 w:val="00000000000000000000"/>
    <w:charset w:val="86"/>
    <w:family w:val="modern"/>
    <w:pitch w:val="default"/>
    <w:sig w:usb0="00000000" w:usb1="00000000" w:usb2="00000012"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Narrow">
    <w:altName w:val="Arial"/>
    <w:panose1 w:val="00000000000000000000"/>
    <w:charset w:val="00"/>
    <w:family w:val="swiss"/>
    <w:pitch w:val="default"/>
    <w:sig w:usb0="00000000" w:usb1="00000000" w:usb2="00000000" w:usb3="00000000" w:csb0="2000009F" w:csb1="DFD70000"/>
  </w:font>
  <w:font w:name="Tms Rmn">
    <w:altName w:val="Segoe Print"/>
    <w:panose1 w:val="02020603040505020304"/>
    <w:charset w:val="00"/>
    <w:family w:val="roman"/>
    <w:pitch w:val="default"/>
    <w:sig w:usb0="00000000" w:usb1="00000000" w:usb2="00000000" w:usb3="00000000" w:csb0="00000001" w:csb1="00000000"/>
  </w:font>
  <w:font w:name="Courier">
    <w:altName w:val="Courier New"/>
    <w:panose1 w:val="02070409020205020404"/>
    <w:charset w:val="00"/>
    <w:family w:val="moder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汉鼎简楷体">
    <w:altName w:val="宋体"/>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pict>
        <v:shape id="_x0000_s1026" o:spid="_x0000_s1026" o:spt="202" type="#_x0000_t202" style="position:absolute;left:0pt;margin-top:0pt;height:11pt;width:4.6pt;mso-position-horizontal:center;mso-position-horizontal-relative:margin;mso-wrap-style:none;z-index:251660288;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LW7l30AAAAAIBAAAPAAAAAAAAAAEAIAAAACIAAABkcnMvZG93bnJl&#10;di54bWxQSwECFAAUAAAACACHTuJA3hmLAswBAACYAwAADgAAAAAAAAABACAAAAAfAQAAZHJzL2Uy&#10;b0RvYy54bWxQSwUGAAAAAAYABgBZAQAAXQUAAAAA&#10;">
          <v:path/>
          <v:fill on="f" focussize="0,0"/>
          <v:stroke on="f" joinstyle="miter"/>
          <v:imagedata o:title=""/>
          <o:lock v:ext="edit"/>
          <v:textbox inset="0mm,0mm,0mm,0mm" style="mso-fit-shape-to-text:t;">
            <w:txbxContent>
              <w:p>
                <w:pPr>
                  <w:pStyle w:val="19"/>
                </w:pPr>
                <w:r>
                  <w:fldChar w:fldCharType="begin"/>
                </w:r>
                <w:r>
                  <w:instrText xml:space="preserve"> PAGE  \* MERGEFORMAT </w:instrText>
                </w:r>
                <w:r>
                  <w:fldChar w:fldCharType="separate"/>
                </w:r>
                <w:r>
                  <w:t>22</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top w:val="single" w:color="auto" w:sz="4" w:space="0"/>
      </w:pBdr>
    </w:pPr>
    <w:r>
      <w:pict>
        <v:shape id="_x0000_s1027" o:spid="_x0000_s1027" o:spt="202" type="#_x0000_t202" style="position:absolute;left:0pt;margin-top:0pt;height:11pt;width:9.15pt;mso-position-horizontal:center;mso-position-horizontal-relative:margin;mso-wrap-style:none;z-index:251661312;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AYulhTQAAAAAwEAAA8AAAAAAAAAAQAgAAAAIgAAAGRycy9kb3ducmV2&#10;LnhtbFBLAQIUABQAAAAIAIdO4kCuK2uaywEAAJkDAAAOAAAAAAAAAAEAIAAAAB8BAABkcnMvZTJv&#10;RG9jLnhtbFBLBQYAAAAABgAGAFkBAABcBQAAAAA=&#10;">
          <v:path/>
          <v:fill on="f" focussize="0,0"/>
          <v:stroke on="f" joinstyle="miter"/>
          <v:imagedata o:title=""/>
          <o:lock v:ext="edit"/>
          <v:textbox inset="0mm,0mm,0mm,0mm" style="mso-fit-shape-to-text:t;">
            <w:txbxContent>
              <w:p>
                <w:pPr>
                  <w:pStyle w:val="19"/>
                </w:pPr>
                <w:r>
                  <w:fldChar w:fldCharType="begin"/>
                </w:r>
                <w:r>
                  <w:instrText xml:space="preserve"> PAGE  \* MERGEFORMAT </w:instrText>
                </w:r>
                <w:r>
                  <w:fldChar w:fldCharType="separate"/>
                </w:r>
                <w:r>
                  <w:t>30</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right"/>
    </w:pPr>
    <w:r>
      <w:fldChar w:fldCharType="begin"/>
    </w:r>
    <w:r>
      <w:instrText xml:space="preserve"> PAGE   \* MERGEFORMAT </w:instrText>
    </w:r>
    <w:r>
      <w:fldChar w:fldCharType="separate"/>
    </w:r>
    <w:r>
      <w:rPr>
        <w:lang w:val="zh-CN"/>
      </w:rPr>
      <w:t>31</w:t>
    </w:r>
    <w:r>
      <w:rPr>
        <w:lang w:val="zh-CN"/>
      </w:rPr>
      <w:fldChar w:fldCharType="end"/>
    </w:r>
  </w:p>
  <w:p>
    <w:pPr>
      <w:pStyle w:val="1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right="360"/>
    </w:pPr>
    <w:r>
      <w:pict>
        <v:shape id="_x0000_s1028" o:spid="_x0000_s1028"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VZerI4AgAAb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tVl6sjgCAABvBAAADgAAAAAAAAABACAAAAAfAQAAZHJzL2Uyb0RvYy54&#10;bWxQSwUGAAAAAAYABgBZAQAAyQUAAAAA&#10;">
          <v:path/>
          <v:fill on="f" focussize="0,0"/>
          <v:stroke on="f" weight="0.5pt" joinstyle="miter"/>
          <v:imagedata o:title=""/>
          <o:lock v:ext="edit"/>
          <v:textbox inset="0mm,0mm,0mm,0mm" style="mso-fit-shape-to-text:t;">
            <w:txbxContent>
              <w:p>
                <w:pPr>
                  <w:pStyle w:val="19"/>
                </w:pPr>
                <w:r>
                  <w:fldChar w:fldCharType="begin"/>
                </w:r>
                <w:r>
                  <w:instrText xml:space="preserve"> PAGE  \* MERGEFORMAT </w:instrText>
                </w:r>
                <w:r>
                  <w:fldChar w:fldCharType="separate"/>
                </w:r>
                <w:r>
                  <w:t>42</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pict>
        <v:shape id="_x0000_s1029" o:spid="_x0000_s1029" o:spt="202" type="#_x0000_t202" style="position:absolute;left:0pt;margin-top:0pt;height:11pt;width:9.15pt;mso-position-horizontal:center;mso-position-horizontal-relative:margin;mso-wrap-style:none;z-index:251662336;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AGLpYU0AAAAAMBAAAPAAAAAAAAAAEAIAAAACIAAABkcnMvZG93bnJl&#10;di54bWxQSwECFAAUAAAACACHTuJAvoCywswBAACZAwAADgAAAAAAAAABACAAAAAfAQAAZHJzL2Uy&#10;b0RvYy54bWxQSwUGAAAAAAYABgBZAQAAXQUAAAAA&#10;">
          <v:path/>
          <v:fill on="f" focussize="0,0"/>
          <v:stroke on="f" joinstyle="miter"/>
          <v:imagedata o:title=""/>
          <o:lock v:ext="edit"/>
          <v:textbox inset="0mm,0mm,0mm,0mm" style="mso-fit-shape-to-text:t;">
            <w:txbxContent>
              <w:p>
                <w:pPr>
                  <w:pStyle w:val="19"/>
                </w:pPr>
                <w:r>
                  <w:fldChar w:fldCharType="begin"/>
                </w:r>
                <w:r>
                  <w:instrText xml:space="preserve"> PAGE  \* MERGEFORMAT </w:instrText>
                </w:r>
                <w:r>
                  <w:fldChar w:fldCharType="separate"/>
                </w:r>
                <w:r>
                  <w:t>45</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right="240"/>
      <w:jc w:val="center"/>
    </w:pPr>
    <w:r>
      <w:fldChar w:fldCharType="begin"/>
    </w:r>
    <w:r>
      <w:instrText xml:space="preserve"> PAGE   \* MERGEFORMAT </w:instrText>
    </w:r>
    <w:r>
      <w:fldChar w:fldCharType="separate"/>
    </w:r>
    <w:r>
      <w:rPr>
        <w:lang w:val="zh-CN"/>
      </w:rPr>
      <w:t>46</w:t>
    </w:r>
    <w:r>
      <w:rPr>
        <w:lang w:val="zh-CN"/>
      </w:rPr>
      <w:fldChar w:fldCharType="end"/>
    </w:r>
  </w:p>
  <w:p>
    <w:pPr>
      <w:pStyle w:val="19"/>
      <w:ind w:right="24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right="240"/>
      <w:jc w:val="center"/>
    </w:pPr>
    <w:r>
      <w:fldChar w:fldCharType="begin"/>
    </w:r>
    <w:r>
      <w:instrText xml:space="preserve"> PAGE   \* MERGEFORMAT </w:instrText>
    </w:r>
    <w:r>
      <w:fldChar w:fldCharType="separate"/>
    </w:r>
    <w:r>
      <w:rPr>
        <w:lang w:val="zh-CN"/>
      </w:rPr>
      <w:t>61</w:t>
    </w:r>
    <w:r>
      <w:rPr>
        <w:lang w:val="zh-CN"/>
      </w:rPr>
      <w:fldChar w:fldCharType="end"/>
    </w:r>
  </w:p>
  <w:p>
    <w:pPr>
      <w:pStyle w:val="19"/>
      <w:ind w:right="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jc w:val="right"/>
      <w:rPr>
        <w:rFonts w:eastAsia="宋体"/>
      </w:rPr>
    </w:pPr>
    <w:r>
      <w:rPr>
        <w:rFonts w:hint="eastAsia"/>
        <w:sz w:val="18"/>
        <w:szCs w:val="18"/>
      </w:rPr>
      <w:t xml:space="preserve">   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jc w:val="right"/>
      <w:rPr>
        <w:rFonts w:ascii="宋体" w:hAnsi="宋体" w:eastAsia="宋体"/>
        <w:b/>
        <w:sz w:val="18"/>
        <w:szCs w:val="18"/>
      </w:rPr>
    </w:pPr>
    <w:r>
      <w:rPr>
        <w:rFonts w:hint="eastAsia"/>
        <w:sz w:val="18"/>
        <w:szCs w:val="18"/>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29F3B9"/>
    <w:multiLevelType w:val="singleLevel"/>
    <w:tmpl w:val="9429F3B9"/>
    <w:lvl w:ilvl="0" w:tentative="0">
      <w:start w:val="35"/>
      <w:numFmt w:val="decimal"/>
      <w:lvlText w:val="%1."/>
      <w:lvlJc w:val="left"/>
      <w:pPr>
        <w:tabs>
          <w:tab w:val="left" w:pos="312"/>
        </w:tabs>
      </w:pPr>
    </w:lvl>
  </w:abstractNum>
  <w:abstractNum w:abstractNumId="1">
    <w:nsid w:val="1068C811"/>
    <w:multiLevelType w:val="singleLevel"/>
    <w:tmpl w:val="1068C811"/>
    <w:lvl w:ilvl="0" w:tentative="0">
      <w:start w:val="1"/>
      <w:numFmt w:val="decimal"/>
      <w:suff w:val="space"/>
      <w:lvlText w:val="%1."/>
      <w:lvlJc w:val="left"/>
    </w:lvl>
  </w:abstractNum>
  <w:abstractNum w:abstractNumId="2">
    <w:nsid w:val="41EF30BC"/>
    <w:multiLevelType w:val="multilevel"/>
    <w:tmpl w:val="41EF30BC"/>
    <w:lvl w:ilvl="0" w:tentative="0">
      <w:start w:val="1"/>
      <w:numFmt w:val="chineseCountingThousand"/>
      <w:pStyle w:val="62"/>
      <w:suff w:val="space"/>
      <w:lvlText w:val="第%1条"/>
      <w:lvlJc w:val="left"/>
      <w:pPr>
        <w:ind w:left="420" w:hanging="420"/>
      </w:pPr>
      <w:rPr>
        <w:rFonts w:hint="eastAsia"/>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5493228"/>
    <w:multiLevelType w:val="multilevel"/>
    <w:tmpl w:val="45493228"/>
    <w:lvl w:ilvl="0" w:tentative="0">
      <w:start w:val="1"/>
      <w:numFmt w:val="decimal"/>
      <w:lvlText w:val="%1)"/>
      <w:lvlJc w:val="left"/>
      <w:pPr>
        <w:ind w:left="834" w:hanging="420"/>
      </w:pPr>
    </w:lvl>
    <w:lvl w:ilvl="1" w:tentative="0">
      <w:start w:val="1"/>
      <w:numFmt w:val="lowerLetter"/>
      <w:lvlText w:val="%2)"/>
      <w:lvlJc w:val="left"/>
      <w:pPr>
        <w:ind w:left="1254" w:hanging="420"/>
      </w:pPr>
    </w:lvl>
    <w:lvl w:ilvl="2" w:tentative="0">
      <w:start w:val="1"/>
      <w:numFmt w:val="lowerRoman"/>
      <w:lvlText w:val="%3."/>
      <w:lvlJc w:val="right"/>
      <w:pPr>
        <w:ind w:left="1674" w:hanging="420"/>
      </w:pPr>
    </w:lvl>
    <w:lvl w:ilvl="3" w:tentative="0">
      <w:start w:val="1"/>
      <w:numFmt w:val="decimal"/>
      <w:lvlText w:val="%4."/>
      <w:lvlJc w:val="left"/>
      <w:pPr>
        <w:ind w:left="2094" w:hanging="420"/>
      </w:pPr>
    </w:lvl>
    <w:lvl w:ilvl="4" w:tentative="0">
      <w:start w:val="1"/>
      <w:numFmt w:val="lowerLetter"/>
      <w:lvlText w:val="%5)"/>
      <w:lvlJc w:val="left"/>
      <w:pPr>
        <w:ind w:left="2514" w:hanging="420"/>
      </w:pPr>
    </w:lvl>
    <w:lvl w:ilvl="5" w:tentative="0">
      <w:start w:val="1"/>
      <w:numFmt w:val="lowerRoman"/>
      <w:lvlText w:val="%6."/>
      <w:lvlJc w:val="right"/>
      <w:pPr>
        <w:ind w:left="2934" w:hanging="420"/>
      </w:pPr>
    </w:lvl>
    <w:lvl w:ilvl="6" w:tentative="0">
      <w:start w:val="1"/>
      <w:numFmt w:val="decimal"/>
      <w:lvlText w:val="%7."/>
      <w:lvlJc w:val="left"/>
      <w:pPr>
        <w:ind w:left="3354" w:hanging="420"/>
      </w:pPr>
    </w:lvl>
    <w:lvl w:ilvl="7" w:tentative="0">
      <w:start w:val="1"/>
      <w:numFmt w:val="lowerLetter"/>
      <w:lvlText w:val="%8)"/>
      <w:lvlJc w:val="left"/>
      <w:pPr>
        <w:ind w:left="3774" w:hanging="420"/>
      </w:pPr>
    </w:lvl>
    <w:lvl w:ilvl="8" w:tentative="0">
      <w:start w:val="1"/>
      <w:numFmt w:val="lowerRoman"/>
      <w:lvlText w:val="%9."/>
      <w:lvlJc w:val="right"/>
      <w:pPr>
        <w:ind w:left="4194" w:hanging="420"/>
      </w:pPr>
    </w:lvl>
  </w:abstractNum>
  <w:abstractNum w:abstractNumId="4">
    <w:nsid w:val="46D81C26"/>
    <w:multiLevelType w:val="multilevel"/>
    <w:tmpl w:val="46D81C26"/>
    <w:lvl w:ilvl="0" w:tentative="0">
      <w:start w:val="1"/>
      <w:numFmt w:val="decimal"/>
      <w:lvlText w:val="%1."/>
      <w:lvlJc w:val="left"/>
      <w:pPr>
        <w:ind w:left="101" w:hanging="360"/>
      </w:pPr>
      <w:rPr>
        <w:rFonts w:hint="default" w:ascii="宋体" w:hAnsi="宋体" w:eastAsia="宋体" w:cs="宋体"/>
        <w:w w:val="100"/>
        <w:sz w:val="24"/>
        <w:szCs w:val="24"/>
      </w:rPr>
    </w:lvl>
    <w:lvl w:ilvl="1" w:tentative="0">
      <w:start w:val="2"/>
      <w:numFmt w:val="decimal"/>
      <w:lvlText w:val="%2."/>
      <w:lvlJc w:val="left"/>
      <w:pPr>
        <w:ind w:left="1199" w:hanging="264"/>
      </w:pPr>
      <w:rPr>
        <w:rFonts w:hint="default" w:ascii="Times New Roman" w:hAnsi="Times New Roman" w:eastAsia="Times New Roman" w:cs="Times New Roman"/>
        <w:spacing w:val="0"/>
        <w:w w:val="99"/>
        <w:sz w:val="21"/>
        <w:szCs w:val="21"/>
      </w:rPr>
    </w:lvl>
    <w:lvl w:ilvl="2" w:tentative="0">
      <w:start w:val="0"/>
      <w:numFmt w:val="bullet"/>
      <w:lvlText w:val="•"/>
      <w:lvlJc w:val="left"/>
      <w:pPr>
        <w:ind w:left="2420" w:hanging="264"/>
      </w:pPr>
      <w:rPr>
        <w:rFonts w:hint="default"/>
      </w:rPr>
    </w:lvl>
    <w:lvl w:ilvl="3" w:tentative="0">
      <w:start w:val="0"/>
      <w:numFmt w:val="bullet"/>
      <w:lvlText w:val="•"/>
      <w:lvlJc w:val="left"/>
      <w:pPr>
        <w:ind w:left="3208" w:hanging="264"/>
      </w:pPr>
      <w:rPr>
        <w:rFonts w:hint="default"/>
      </w:rPr>
    </w:lvl>
    <w:lvl w:ilvl="4" w:tentative="0">
      <w:start w:val="0"/>
      <w:numFmt w:val="bullet"/>
      <w:lvlText w:val="•"/>
      <w:lvlJc w:val="left"/>
      <w:pPr>
        <w:ind w:left="3996" w:hanging="264"/>
      </w:pPr>
      <w:rPr>
        <w:rFonts w:hint="default"/>
      </w:rPr>
    </w:lvl>
    <w:lvl w:ilvl="5" w:tentative="0">
      <w:start w:val="0"/>
      <w:numFmt w:val="bullet"/>
      <w:lvlText w:val="•"/>
      <w:lvlJc w:val="left"/>
      <w:pPr>
        <w:ind w:left="4784" w:hanging="264"/>
      </w:pPr>
      <w:rPr>
        <w:rFonts w:hint="default"/>
      </w:rPr>
    </w:lvl>
    <w:lvl w:ilvl="6" w:tentative="0">
      <w:start w:val="0"/>
      <w:numFmt w:val="bullet"/>
      <w:lvlText w:val="•"/>
      <w:lvlJc w:val="left"/>
      <w:pPr>
        <w:ind w:left="5573" w:hanging="264"/>
      </w:pPr>
      <w:rPr>
        <w:rFonts w:hint="default"/>
      </w:rPr>
    </w:lvl>
    <w:lvl w:ilvl="7" w:tentative="0">
      <w:start w:val="0"/>
      <w:numFmt w:val="bullet"/>
      <w:lvlText w:val="•"/>
      <w:lvlJc w:val="left"/>
      <w:pPr>
        <w:ind w:left="6361" w:hanging="264"/>
      </w:pPr>
      <w:rPr>
        <w:rFonts w:hint="default"/>
      </w:rPr>
    </w:lvl>
    <w:lvl w:ilvl="8" w:tentative="0">
      <w:start w:val="0"/>
      <w:numFmt w:val="bullet"/>
      <w:lvlText w:val="•"/>
      <w:lvlJc w:val="left"/>
      <w:pPr>
        <w:ind w:left="7149" w:hanging="264"/>
      </w:pPr>
      <w:rPr>
        <w:rFonts w:hint="default"/>
      </w:rPr>
    </w:lvl>
  </w:abstractNum>
  <w:abstractNum w:abstractNumId="5">
    <w:nsid w:val="5535C9C0"/>
    <w:multiLevelType w:val="singleLevel"/>
    <w:tmpl w:val="5535C9C0"/>
    <w:lvl w:ilvl="0" w:tentative="0">
      <w:start w:val="3"/>
      <w:numFmt w:val="chineseCounting"/>
      <w:suff w:val="nothing"/>
      <w:lvlText w:val="%1、"/>
      <w:lvlJc w:val="left"/>
    </w:lvl>
  </w:abstractNum>
  <w:abstractNum w:abstractNumId="6">
    <w:nsid w:val="5536FE69"/>
    <w:multiLevelType w:val="singleLevel"/>
    <w:tmpl w:val="5536FE69"/>
    <w:lvl w:ilvl="0" w:tentative="0">
      <w:start w:val="7"/>
      <w:numFmt w:val="chineseCounting"/>
      <w:suff w:val="nothing"/>
      <w:lvlText w:val="%1、"/>
      <w:lvlJc w:val="left"/>
    </w:lvl>
  </w:abstractNum>
  <w:abstractNum w:abstractNumId="7">
    <w:nsid w:val="65E55468"/>
    <w:multiLevelType w:val="multilevel"/>
    <w:tmpl w:val="65E55468"/>
    <w:lvl w:ilvl="0" w:tentative="0">
      <w:start w:val="1"/>
      <w:numFmt w:val="decimal"/>
      <w:pStyle w:val="64"/>
      <w:lvlText w:val="第%1.章"/>
      <w:lvlJc w:val="left"/>
      <w:pPr>
        <w:tabs>
          <w:tab w:val="left" w:pos="425"/>
        </w:tabs>
        <w:ind w:left="425" w:hanging="425"/>
      </w:pPr>
      <w:rPr>
        <w:rFonts w:hint="eastAsia"/>
        <w:lang w:val="en-US"/>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sz w:val="30"/>
        <w:szCs w:val="30"/>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733F834C"/>
    <w:multiLevelType w:val="singleLevel"/>
    <w:tmpl w:val="733F834C"/>
    <w:lvl w:ilvl="0" w:tentative="0">
      <w:start w:val="4"/>
      <w:numFmt w:val="chineseCounting"/>
      <w:suff w:val="space"/>
      <w:lvlText w:val="第%1章"/>
      <w:lvlJc w:val="left"/>
      <w:rPr>
        <w:rFonts w:hint="eastAsia"/>
      </w:rPr>
    </w:lvl>
  </w:abstractNum>
  <w:abstractNum w:abstractNumId="9">
    <w:nsid w:val="751E4400"/>
    <w:multiLevelType w:val="multilevel"/>
    <w:tmpl w:val="751E4400"/>
    <w:lvl w:ilvl="0" w:tentative="0">
      <w:start w:val="1"/>
      <w:numFmt w:val="decimal"/>
      <w:lvlText w:val="(%1)"/>
      <w:lvlJc w:val="left"/>
      <w:pPr>
        <w:ind w:left="-171" w:firstLine="313"/>
      </w:pPr>
      <w:rPr>
        <w:rFonts w:hint="eastAsia" w:ascii="宋体" w:hAnsi="宋体" w:eastAsia="宋体" w:cs="宋体"/>
      </w:rPr>
    </w:lvl>
    <w:lvl w:ilvl="1" w:tentative="0">
      <w:start w:val="1"/>
      <w:numFmt w:val="decimal"/>
      <w:lvlText w:val="%2）"/>
      <w:lvlJc w:val="left"/>
      <w:pPr>
        <w:ind w:left="1206" w:hanging="360"/>
      </w:pPr>
      <w:rPr>
        <w:rFonts w:hint="default"/>
      </w:r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num w:numId="1">
    <w:abstractNumId w:val="2"/>
  </w:num>
  <w:num w:numId="2">
    <w:abstractNumId w:val="7"/>
  </w:num>
  <w:num w:numId="3">
    <w:abstractNumId w:val="0"/>
  </w:num>
  <w:num w:numId="4">
    <w:abstractNumId w:val="1"/>
  </w:num>
  <w:num w:numId="5">
    <w:abstractNumId w:val="8"/>
  </w:num>
  <w:num w:numId="6">
    <w:abstractNumId w:val="9"/>
  </w:num>
  <w:num w:numId="7">
    <w:abstractNumId w:val="3"/>
  </w:num>
  <w:num w:numId="8">
    <w:abstractNumId w:val="5"/>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hideSpellingErrors/>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2UxMzgyM2JiNGVmOGJhNzMwMDNhOTk2YzQxZmNhNzkifQ=="/>
  </w:docVars>
  <w:rsids>
    <w:rsidRoot w:val="005C6070"/>
    <w:rsid w:val="00001329"/>
    <w:rsid w:val="0001049D"/>
    <w:rsid w:val="00016F5D"/>
    <w:rsid w:val="00053831"/>
    <w:rsid w:val="00071791"/>
    <w:rsid w:val="000804B7"/>
    <w:rsid w:val="000879C9"/>
    <w:rsid w:val="000D24E5"/>
    <w:rsid w:val="00111E29"/>
    <w:rsid w:val="001600F3"/>
    <w:rsid w:val="00175CB8"/>
    <w:rsid w:val="00183644"/>
    <w:rsid w:val="001D4183"/>
    <w:rsid w:val="001E0689"/>
    <w:rsid w:val="001E5146"/>
    <w:rsid w:val="001E76B8"/>
    <w:rsid w:val="001F3CA0"/>
    <w:rsid w:val="001F418A"/>
    <w:rsid w:val="002003F0"/>
    <w:rsid w:val="00203E5E"/>
    <w:rsid w:val="002137A4"/>
    <w:rsid w:val="002143D3"/>
    <w:rsid w:val="002274C4"/>
    <w:rsid w:val="00292AC7"/>
    <w:rsid w:val="002A0BDD"/>
    <w:rsid w:val="002A2305"/>
    <w:rsid w:val="002A74AB"/>
    <w:rsid w:val="002D3401"/>
    <w:rsid w:val="002F6F32"/>
    <w:rsid w:val="00311A59"/>
    <w:rsid w:val="00323293"/>
    <w:rsid w:val="003437CA"/>
    <w:rsid w:val="00344B87"/>
    <w:rsid w:val="00346A4F"/>
    <w:rsid w:val="00350AAD"/>
    <w:rsid w:val="003659DF"/>
    <w:rsid w:val="003A0C5B"/>
    <w:rsid w:val="003A1B46"/>
    <w:rsid w:val="003A2D03"/>
    <w:rsid w:val="003E2F72"/>
    <w:rsid w:val="00400DD0"/>
    <w:rsid w:val="004954A0"/>
    <w:rsid w:val="004B16C3"/>
    <w:rsid w:val="004D1250"/>
    <w:rsid w:val="004D645B"/>
    <w:rsid w:val="004D7CD8"/>
    <w:rsid w:val="004F5C94"/>
    <w:rsid w:val="00515513"/>
    <w:rsid w:val="005223E4"/>
    <w:rsid w:val="00526E1D"/>
    <w:rsid w:val="005309C3"/>
    <w:rsid w:val="005431CD"/>
    <w:rsid w:val="0054678E"/>
    <w:rsid w:val="0054726C"/>
    <w:rsid w:val="00550B0F"/>
    <w:rsid w:val="00556EAA"/>
    <w:rsid w:val="005941EA"/>
    <w:rsid w:val="005A20EF"/>
    <w:rsid w:val="005B300C"/>
    <w:rsid w:val="005B683E"/>
    <w:rsid w:val="005C6070"/>
    <w:rsid w:val="005E22AB"/>
    <w:rsid w:val="005E2F4E"/>
    <w:rsid w:val="005E7F6F"/>
    <w:rsid w:val="00600A0F"/>
    <w:rsid w:val="00607113"/>
    <w:rsid w:val="0061472C"/>
    <w:rsid w:val="00617282"/>
    <w:rsid w:val="00627774"/>
    <w:rsid w:val="00634618"/>
    <w:rsid w:val="0064139C"/>
    <w:rsid w:val="0064617E"/>
    <w:rsid w:val="00662CB5"/>
    <w:rsid w:val="00663F40"/>
    <w:rsid w:val="00671624"/>
    <w:rsid w:val="006B2948"/>
    <w:rsid w:val="006C1080"/>
    <w:rsid w:val="006E1B44"/>
    <w:rsid w:val="006F5949"/>
    <w:rsid w:val="0072128A"/>
    <w:rsid w:val="00735826"/>
    <w:rsid w:val="00740C0B"/>
    <w:rsid w:val="00745677"/>
    <w:rsid w:val="00772164"/>
    <w:rsid w:val="00773213"/>
    <w:rsid w:val="00787DA4"/>
    <w:rsid w:val="007D316B"/>
    <w:rsid w:val="007F3682"/>
    <w:rsid w:val="007F3CEB"/>
    <w:rsid w:val="007F6421"/>
    <w:rsid w:val="00821134"/>
    <w:rsid w:val="008211D6"/>
    <w:rsid w:val="008374E5"/>
    <w:rsid w:val="00853899"/>
    <w:rsid w:val="00860053"/>
    <w:rsid w:val="0087420F"/>
    <w:rsid w:val="00891089"/>
    <w:rsid w:val="008C0308"/>
    <w:rsid w:val="008D7979"/>
    <w:rsid w:val="008E41C7"/>
    <w:rsid w:val="008E678F"/>
    <w:rsid w:val="008F0BE0"/>
    <w:rsid w:val="00917058"/>
    <w:rsid w:val="0095118F"/>
    <w:rsid w:val="00977CFA"/>
    <w:rsid w:val="009A311F"/>
    <w:rsid w:val="009A5841"/>
    <w:rsid w:val="009D48B2"/>
    <w:rsid w:val="009D7BA4"/>
    <w:rsid w:val="009F6FC6"/>
    <w:rsid w:val="00A21CC0"/>
    <w:rsid w:val="00A44E41"/>
    <w:rsid w:val="00A50D1B"/>
    <w:rsid w:val="00A52402"/>
    <w:rsid w:val="00A63141"/>
    <w:rsid w:val="00A7511F"/>
    <w:rsid w:val="00A75E44"/>
    <w:rsid w:val="00AC0A91"/>
    <w:rsid w:val="00AE3A17"/>
    <w:rsid w:val="00B03A3F"/>
    <w:rsid w:val="00B5230D"/>
    <w:rsid w:val="00B6699D"/>
    <w:rsid w:val="00B7702F"/>
    <w:rsid w:val="00BB4D7A"/>
    <w:rsid w:val="00BB7886"/>
    <w:rsid w:val="00C2720D"/>
    <w:rsid w:val="00C36D29"/>
    <w:rsid w:val="00C50271"/>
    <w:rsid w:val="00C546CD"/>
    <w:rsid w:val="00C559E9"/>
    <w:rsid w:val="00C822A6"/>
    <w:rsid w:val="00C971FA"/>
    <w:rsid w:val="00CC0A97"/>
    <w:rsid w:val="00CF3DBA"/>
    <w:rsid w:val="00D03098"/>
    <w:rsid w:val="00D20212"/>
    <w:rsid w:val="00D27F56"/>
    <w:rsid w:val="00D6491C"/>
    <w:rsid w:val="00D7633E"/>
    <w:rsid w:val="00D76372"/>
    <w:rsid w:val="00D76D4A"/>
    <w:rsid w:val="00DE26C1"/>
    <w:rsid w:val="00E74A56"/>
    <w:rsid w:val="00E872C1"/>
    <w:rsid w:val="00E94A36"/>
    <w:rsid w:val="00EB37D0"/>
    <w:rsid w:val="00EC7527"/>
    <w:rsid w:val="00EF1E56"/>
    <w:rsid w:val="00F00728"/>
    <w:rsid w:val="00F36EDA"/>
    <w:rsid w:val="00F4261D"/>
    <w:rsid w:val="00F52700"/>
    <w:rsid w:val="00F61E99"/>
    <w:rsid w:val="00F84BBE"/>
    <w:rsid w:val="00F85FA3"/>
    <w:rsid w:val="00F8742F"/>
    <w:rsid w:val="00FB5DFD"/>
    <w:rsid w:val="00FD6889"/>
    <w:rsid w:val="00FF3FF0"/>
    <w:rsid w:val="013B5872"/>
    <w:rsid w:val="015E6884"/>
    <w:rsid w:val="021D0A23"/>
    <w:rsid w:val="022254A6"/>
    <w:rsid w:val="03060030"/>
    <w:rsid w:val="0433224A"/>
    <w:rsid w:val="04C80D35"/>
    <w:rsid w:val="061F0CA4"/>
    <w:rsid w:val="06E9410A"/>
    <w:rsid w:val="08767436"/>
    <w:rsid w:val="09465165"/>
    <w:rsid w:val="0A15586D"/>
    <w:rsid w:val="0ACF04E7"/>
    <w:rsid w:val="0AE53B72"/>
    <w:rsid w:val="0B7E13DB"/>
    <w:rsid w:val="0C90360D"/>
    <w:rsid w:val="0D136775"/>
    <w:rsid w:val="0DEC0CCB"/>
    <w:rsid w:val="0DF5231E"/>
    <w:rsid w:val="0E5C05EF"/>
    <w:rsid w:val="0E620D1A"/>
    <w:rsid w:val="0F7E485E"/>
    <w:rsid w:val="0FCF7E38"/>
    <w:rsid w:val="107D319C"/>
    <w:rsid w:val="11325250"/>
    <w:rsid w:val="11883FE3"/>
    <w:rsid w:val="13C25A92"/>
    <w:rsid w:val="140B0577"/>
    <w:rsid w:val="14217879"/>
    <w:rsid w:val="14240ADE"/>
    <w:rsid w:val="14A826CB"/>
    <w:rsid w:val="15BA3B9F"/>
    <w:rsid w:val="15E96C0C"/>
    <w:rsid w:val="15F46609"/>
    <w:rsid w:val="16290637"/>
    <w:rsid w:val="16825F2E"/>
    <w:rsid w:val="16E318AE"/>
    <w:rsid w:val="17CB4F24"/>
    <w:rsid w:val="199F6311"/>
    <w:rsid w:val="19F31C97"/>
    <w:rsid w:val="1A222A37"/>
    <w:rsid w:val="1AC612CA"/>
    <w:rsid w:val="1AE3240B"/>
    <w:rsid w:val="1AF4654F"/>
    <w:rsid w:val="1C3C28D4"/>
    <w:rsid w:val="1CFA34AD"/>
    <w:rsid w:val="1EF34658"/>
    <w:rsid w:val="205409C4"/>
    <w:rsid w:val="21073FF9"/>
    <w:rsid w:val="2112428A"/>
    <w:rsid w:val="21CC4F2B"/>
    <w:rsid w:val="21D214A4"/>
    <w:rsid w:val="21E5476B"/>
    <w:rsid w:val="22BA02BD"/>
    <w:rsid w:val="235928EC"/>
    <w:rsid w:val="23A80914"/>
    <w:rsid w:val="23E1406B"/>
    <w:rsid w:val="2416588F"/>
    <w:rsid w:val="249A58F9"/>
    <w:rsid w:val="25FD1E13"/>
    <w:rsid w:val="26890504"/>
    <w:rsid w:val="26A77C9F"/>
    <w:rsid w:val="27EF2A66"/>
    <w:rsid w:val="2994319E"/>
    <w:rsid w:val="29B03D6D"/>
    <w:rsid w:val="29BF1D06"/>
    <w:rsid w:val="2DCB32FB"/>
    <w:rsid w:val="2EC80010"/>
    <w:rsid w:val="2EF13BEB"/>
    <w:rsid w:val="2FD42976"/>
    <w:rsid w:val="320504D2"/>
    <w:rsid w:val="324A2389"/>
    <w:rsid w:val="32AB72CC"/>
    <w:rsid w:val="34291060"/>
    <w:rsid w:val="34D05405"/>
    <w:rsid w:val="354C01C6"/>
    <w:rsid w:val="365657A0"/>
    <w:rsid w:val="37766859"/>
    <w:rsid w:val="377722AD"/>
    <w:rsid w:val="3788651C"/>
    <w:rsid w:val="378E2D18"/>
    <w:rsid w:val="38F92413"/>
    <w:rsid w:val="39845C90"/>
    <w:rsid w:val="3B4E19C0"/>
    <w:rsid w:val="3B6016F4"/>
    <w:rsid w:val="3B7346FF"/>
    <w:rsid w:val="3BA845EC"/>
    <w:rsid w:val="3BCD02B3"/>
    <w:rsid w:val="3C4A7C4B"/>
    <w:rsid w:val="3CB72746"/>
    <w:rsid w:val="3D92441E"/>
    <w:rsid w:val="3E2B306F"/>
    <w:rsid w:val="3E3D6367"/>
    <w:rsid w:val="3F5A61A6"/>
    <w:rsid w:val="3F6A4BA7"/>
    <w:rsid w:val="400060EC"/>
    <w:rsid w:val="407A700F"/>
    <w:rsid w:val="40A745DF"/>
    <w:rsid w:val="41496275"/>
    <w:rsid w:val="425D7EB7"/>
    <w:rsid w:val="42CB7D53"/>
    <w:rsid w:val="435604E7"/>
    <w:rsid w:val="436A63E7"/>
    <w:rsid w:val="43E13132"/>
    <w:rsid w:val="44670B79"/>
    <w:rsid w:val="446A2BBF"/>
    <w:rsid w:val="44901E7E"/>
    <w:rsid w:val="44EB3558"/>
    <w:rsid w:val="45F66658"/>
    <w:rsid w:val="47354F5E"/>
    <w:rsid w:val="475D2954"/>
    <w:rsid w:val="47783BB6"/>
    <w:rsid w:val="47D91D8D"/>
    <w:rsid w:val="47F26FFE"/>
    <w:rsid w:val="482B1CC3"/>
    <w:rsid w:val="4952759F"/>
    <w:rsid w:val="4AE34BB9"/>
    <w:rsid w:val="4C137937"/>
    <w:rsid w:val="4CF07983"/>
    <w:rsid w:val="4D3F59EA"/>
    <w:rsid w:val="4DF86B87"/>
    <w:rsid w:val="4E6D311F"/>
    <w:rsid w:val="4EB250E6"/>
    <w:rsid w:val="4F5368C9"/>
    <w:rsid w:val="4F555643"/>
    <w:rsid w:val="4FD0399E"/>
    <w:rsid w:val="50097142"/>
    <w:rsid w:val="50A833D7"/>
    <w:rsid w:val="50B96FCE"/>
    <w:rsid w:val="51EB2DE9"/>
    <w:rsid w:val="52B94123"/>
    <w:rsid w:val="52C61EB1"/>
    <w:rsid w:val="536E06A6"/>
    <w:rsid w:val="54676C5B"/>
    <w:rsid w:val="55916578"/>
    <w:rsid w:val="55C45D38"/>
    <w:rsid w:val="55F2202A"/>
    <w:rsid w:val="56870E70"/>
    <w:rsid w:val="57591C89"/>
    <w:rsid w:val="585C53D7"/>
    <w:rsid w:val="590F1AB3"/>
    <w:rsid w:val="59F9616F"/>
    <w:rsid w:val="5A274FFF"/>
    <w:rsid w:val="5B363CB7"/>
    <w:rsid w:val="5BEA1135"/>
    <w:rsid w:val="5C873D4D"/>
    <w:rsid w:val="5CC96A3E"/>
    <w:rsid w:val="5DC5016F"/>
    <w:rsid w:val="5EC260F6"/>
    <w:rsid w:val="5ED3421C"/>
    <w:rsid w:val="5F180F96"/>
    <w:rsid w:val="5F7B3C04"/>
    <w:rsid w:val="5FDD2D43"/>
    <w:rsid w:val="608A7C71"/>
    <w:rsid w:val="61B31259"/>
    <w:rsid w:val="625378CF"/>
    <w:rsid w:val="628250A4"/>
    <w:rsid w:val="62AF6665"/>
    <w:rsid w:val="62F722B3"/>
    <w:rsid w:val="63BF7C32"/>
    <w:rsid w:val="649C7F73"/>
    <w:rsid w:val="656128C0"/>
    <w:rsid w:val="6570115F"/>
    <w:rsid w:val="66855163"/>
    <w:rsid w:val="669B4986"/>
    <w:rsid w:val="66D87988"/>
    <w:rsid w:val="66FA2D94"/>
    <w:rsid w:val="676A6DE5"/>
    <w:rsid w:val="67827E2E"/>
    <w:rsid w:val="67955879"/>
    <w:rsid w:val="68972E48"/>
    <w:rsid w:val="69F95F7E"/>
    <w:rsid w:val="6AE5432E"/>
    <w:rsid w:val="6B2354D3"/>
    <w:rsid w:val="6CB26F55"/>
    <w:rsid w:val="6CBF1787"/>
    <w:rsid w:val="6DF95761"/>
    <w:rsid w:val="6DFA4688"/>
    <w:rsid w:val="6EC90DF1"/>
    <w:rsid w:val="6FCB7ECD"/>
    <w:rsid w:val="713B7F1D"/>
    <w:rsid w:val="713F6856"/>
    <w:rsid w:val="71417EAB"/>
    <w:rsid w:val="715A7454"/>
    <w:rsid w:val="722C7A20"/>
    <w:rsid w:val="723D41F5"/>
    <w:rsid w:val="74342A15"/>
    <w:rsid w:val="76006328"/>
    <w:rsid w:val="763000A3"/>
    <w:rsid w:val="76552264"/>
    <w:rsid w:val="76566114"/>
    <w:rsid w:val="768B1344"/>
    <w:rsid w:val="76AA5A61"/>
    <w:rsid w:val="772831D1"/>
    <w:rsid w:val="79CA397F"/>
    <w:rsid w:val="7A0D5743"/>
    <w:rsid w:val="7ABF48A9"/>
    <w:rsid w:val="7AEC76DF"/>
    <w:rsid w:val="7B263009"/>
    <w:rsid w:val="7BBC11CF"/>
    <w:rsid w:val="7C5D270E"/>
    <w:rsid w:val="7C610CCC"/>
    <w:rsid w:val="7CBA42A1"/>
    <w:rsid w:val="7CEA58C8"/>
    <w:rsid w:val="7E9762C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99"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35" w:semiHidden="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qFormat="1" w:unhideWhenUsed="0" w:uiPriority="0" w:semiHidden="0" w:name="List 2"/>
    <w:lsdException w:uiPriority="0" w:name="List 3"/>
    <w:lsdException w:uiPriority="0" w:name="List 4"/>
    <w:lsdException w:qFormat="1"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uiPriority="0" w:name="Body Text 3"/>
    <w:lsdException w:qFormat="1" w:uiPriority="99" w:semiHidden="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99" w:semiHidden="0" w:name="Emphasis"/>
    <w:lsdException w:qFormat="1" w:unhideWhenUsed="0" w:uiPriority="0" w:semiHidden="0" w:name="Document Map"/>
    <w:lsdException w:qFormat="1" w:unhideWhenUsed="0" w:uiPriority="0" w:semiHidden="0" w:name="Plain Text"/>
    <w:lsdException w:uiPriority="0" w:name="E-mail Signature"/>
    <w:lsdException w:qFormat="1"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21"/>
      <w:szCs w:val="24"/>
      <w:lang w:val="en-US" w:eastAsia="zh-CN" w:bidi="ar-SA"/>
    </w:rPr>
  </w:style>
  <w:style w:type="paragraph" w:styleId="3">
    <w:name w:val="heading 1"/>
    <w:basedOn w:val="1"/>
    <w:next w:val="1"/>
    <w:link w:val="52"/>
    <w:qFormat/>
    <w:uiPriority w:val="0"/>
    <w:pPr>
      <w:keepNext/>
      <w:keepLines/>
      <w:spacing w:before="120" w:after="120"/>
      <w:jc w:val="center"/>
      <w:outlineLvl w:val="0"/>
    </w:pPr>
    <w:rPr>
      <w:rFonts w:eastAsia="宋体"/>
      <w:b/>
      <w:kern w:val="44"/>
      <w:sz w:val="44"/>
      <w:szCs w:val="20"/>
    </w:rPr>
  </w:style>
  <w:style w:type="paragraph" w:styleId="4">
    <w:name w:val="heading 2"/>
    <w:basedOn w:val="1"/>
    <w:next w:val="1"/>
    <w:link w:val="56"/>
    <w:qFormat/>
    <w:uiPriority w:val="0"/>
    <w:pPr>
      <w:keepNext/>
      <w:keepLines/>
      <w:spacing w:before="140" w:after="140" w:line="413" w:lineRule="auto"/>
      <w:jc w:val="center"/>
      <w:outlineLvl w:val="1"/>
    </w:pPr>
    <w:rPr>
      <w:rFonts w:ascii="Arial" w:hAnsi="Arial"/>
      <w:b/>
      <w:sz w:val="28"/>
    </w:rPr>
  </w:style>
  <w:style w:type="paragraph" w:styleId="5">
    <w:name w:val="heading 3"/>
    <w:basedOn w:val="1"/>
    <w:next w:val="6"/>
    <w:qFormat/>
    <w:uiPriority w:val="99"/>
    <w:pPr>
      <w:keepNext/>
      <w:keepLines/>
      <w:spacing w:line="360" w:lineRule="auto"/>
      <w:jc w:val="left"/>
      <w:outlineLvl w:val="2"/>
    </w:pPr>
    <w:rPr>
      <w:rFonts w:ascii="宋体" w:hAnsi="宋体" w:cs="宋体"/>
      <w:b/>
      <w:szCs w:val="21"/>
    </w:rPr>
  </w:style>
  <w:style w:type="character" w:default="1" w:styleId="31">
    <w:name w:val="Default Paragraph Font"/>
    <w:semiHidden/>
    <w:unhideWhenUsed/>
    <w:uiPriority w:val="1"/>
  </w:style>
  <w:style w:type="table" w:default="1" w:styleId="29">
    <w:name w:val="Normal Table"/>
    <w:semiHidden/>
    <w:unhideWhenUsed/>
    <w:uiPriority w:val="99"/>
    <w:tblPr>
      <w:tblCellMar>
        <w:top w:w="0" w:type="dxa"/>
        <w:left w:w="108" w:type="dxa"/>
        <w:bottom w:w="0" w:type="dxa"/>
        <w:right w:w="108" w:type="dxa"/>
      </w:tblCellMar>
    </w:tblPr>
  </w:style>
  <w:style w:type="paragraph" w:customStyle="1" w:styleId="2">
    <w:name w:val="Message Header1"/>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6">
    <w:name w:val="Normal Indent"/>
    <w:basedOn w:val="1"/>
    <w:qFormat/>
    <w:uiPriority w:val="0"/>
    <w:pPr>
      <w:ind w:firstLine="420"/>
    </w:pPr>
    <w:rPr>
      <w:szCs w:val="20"/>
    </w:rPr>
  </w:style>
  <w:style w:type="paragraph" w:styleId="7">
    <w:name w:val="caption"/>
    <w:basedOn w:val="1"/>
    <w:next w:val="1"/>
    <w:qFormat/>
    <w:uiPriority w:val="35"/>
    <w:rPr>
      <w:rFonts w:ascii="Cambria" w:hAnsi="Cambria" w:eastAsia="黑体"/>
      <w:sz w:val="20"/>
      <w:szCs w:val="20"/>
    </w:rPr>
  </w:style>
  <w:style w:type="paragraph" w:styleId="8">
    <w:name w:val="Document Map"/>
    <w:basedOn w:val="1"/>
    <w:link w:val="66"/>
    <w:qFormat/>
    <w:uiPriority w:val="0"/>
    <w:rPr>
      <w:rFonts w:ascii="宋体" w:eastAsia="宋体"/>
      <w:sz w:val="18"/>
      <w:szCs w:val="18"/>
    </w:rPr>
  </w:style>
  <w:style w:type="paragraph" w:styleId="9">
    <w:name w:val="annotation text"/>
    <w:basedOn w:val="1"/>
    <w:link w:val="47"/>
    <w:unhideWhenUsed/>
    <w:qFormat/>
    <w:uiPriority w:val="99"/>
    <w:pPr>
      <w:jc w:val="left"/>
    </w:pPr>
  </w:style>
  <w:style w:type="paragraph" w:styleId="10">
    <w:name w:val="Body Text"/>
    <w:basedOn w:val="1"/>
    <w:next w:val="11"/>
    <w:link w:val="48"/>
    <w:qFormat/>
    <w:uiPriority w:val="0"/>
    <w:pPr>
      <w:spacing w:line="460" w:lineRule="exact"/>
    </w:pPr>
    <w:rPr>
      <w:rFonts w:ascii="Arial Unicode MS" w:hAnsi="汉仪中等线简" w:eastAsia="Arial Unicode MS"/>
      <w:b/>
      <w:bCs/>
      <w:spacing w:val="4"/>
      <w:sz w:val="24"/>
      <w:szCs w:val="20"/>
    </w:rPr>
  </w:style>
  <w:style w:type="paragraph" w:styleId="11">
    <w:name w:val="Body Text 2"/>
    <w:basedOn w:val="1"/>
    <w:qFormat/>
    <w:uiPriority w:val="0"/>
    <w:pPr>
      <w:spacing w:after="120" w:line="480" w:lineRule="auto"/>
    </w:pPr>
  </w:style>
  <w:style w:type="paragraph" w:styleId="12">
    <w:name w:val="Body Text Indent"/>
    <w:basedOn w:val="1"/>
    <w:next w:val="13"/>
    <w:qFormat/>
    <w:uiPriority w:val="0"/>
    <w:pPr>
      <w:spacing w:after="120"/>
      <w:ind w:left="200" w:leftChars="200"/>
    </w:pPr>
    <w:rPr>
      <w:rFonts w:ascii="Times New Roman" w:hAnsi="Times New Roman"/>
    </w:rPr>
  </w:style>
  <w:style w:type="paragraph" w:styleId="13">
    <w:name w:val="envelope return"/>
    <w:basedOn w:val="1"/>
    <w:qFormat/>
    <w:uiPriority w:val="0"/>
    <w:pPr>
      <w:snapToGrid w:val="0"/>
    </w:pPr>
    <w:rPr>
      <w:rFonts w:ascii="Arial" w:hAnsi="Arial"/>
    </w:rPr>
  </w:style>
  <w:style w:type="paragraph" w:styleId="14">
    <w:name w:val="List 2"/>
    <w:basedOn w:val="1"/>
    <w:qFormat/>
    <w:uiPriority w:val="0"/>
    <w:pPr>
      <w:ind w:left="100" w:leftChars="200" w:hanging="200" w:hangingChars="200"/>
    </w:pPr>
  </w:style>
  <w:style w:type="paragraph" w:styleId="15">
    <w:name w:val="List Continue"/>
    <w:basedOn w:val="1"/>
    <w:qFormat/>
    <w:uiPriority w:val="0"/>
    <w:pPr>
      <w:spacing w:after="120"/>
      <w:ind w:left="420"/>
    </w:pPr>
    <w:rPr>
      <w:rFonts w:eastAsia="楷体_GB2312"/>
      <w:sz w:val="32"/>
      <w:szCs w:val="20"/>
    </w:rPr>
  </w:style>
  <w:style w:type="paragraph" w:styleId="16">
    <w:name w:val="Plain Text"/>
    <w:basedOn w:val="1"/>
    <w:link w:val="67"/>
    <w:qFormat/>
    <w:uiPriority w:val="0"/>
    <w:rPr>
      <w:rFonts w:ascii="宋体" w:hAnsi="Courier New" w:cs="Courier New"/>
      <w:szCs w:val="21"/>
    </w:rPr>
  </w:style>
  <w:style w:type="paragraph" w:styleId="17">
    <w:name w:val="Body Text Indent 2"/>
    <w:basedOn w:val="1"/>
    <w:unhideWhenUsed/>
    <w:qFormat/>
    <w:uiPriority w:val="99"/>
    <w:pPr>
      <w:spacing w:after="120" w:line="480" w:lineRule="auto"/>
      <w:ind w:left="420" w:leftChars="200"/>
    </w:pPr>
  </w:style>
  <w:style w:type="paragraph" w:styleId="18">
    <w:name w:val="Balloon Text"/>
    <w:basedOn w:val="1"/>
    <w:link w:val="51"/>
    <w:qFormat/>
    <w:uiPriority w:val="0"/>
    <w:rPr>
      <w:sz w:val="18"/>
      <w:szCs w:val="18"/>
    </w:rPr>
  </w:style>
  <w:style w:type="paragraph" w:styleId="19">
    <w:name w:val="footer"/>
    <w:basedOn w:val="1"/>
    <w:qFormat/>
    <w:uiPriority w:val="0"/>
    <w:pPr>
      <w:tabs>
        <w:tab w:val="center" w:pos="4153"/>
        <w:tab w:val="right" w:pos="8306"/>
      </w:tabs>
      <w:snapToGrid w:val="0"/>
      <w:jc w:val="left"/>
    </w:pPr>
    <w:rPr>
      <w:sz w:val="18"/>
    </w:rPr>
  </w:style>
  <w:style w:type="paragraph" w:styleId="2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1">
    <w:name w:val="toc 1"/>
    <w:basedOn w:val="1"/>
    <w:next w:val="1"/>
    <w:qFormat/>
    <w:uiPriority w:val="0"/>
  </w:style>
  <w:style w:type="paragraph" w:styleId="22">
    <w:name w:val="List 5"/>
    <w:basedOn w:val="1"/>
    <w:qFormat/>
    <w:uiPriority w:val="0"/>
    <w:pPr>
      <w:ind w:left="2100" w:hanging="420"/>
    </w:pPr>
    <w:rPr>
      <w:rFonts w:eastAsia="楷体_GB2312"/>
      <w:sz w:val="32"/>
      <w:szCs w:val="20"/>
    </w:rPr>
  </w:style>
  <w:style w:type="paragraph" w:styleId="23">
    <w:name w:val="toc 2"/>
    <w:basedOn w:val="1"/>
    <w:next w:val="1"/>
    <w:qFormat/>
    <w:uiPriority w:val="0"/>
    <w:pPr>
      <w:ind w:left="420" w:leftChars="200"/>
    </w:pPr>
  </w:style>
  <w:style w:type="paragraph" w:styleId="24">
    <w:name w:val="Normal (Web)"/>
    <w:basedOn w:val="1"/>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25">
    <w:name w:val="Title"/>
    <w:basedOn w:val="1"/>
    <w:next w:val="1"/>
    <w:qFormat/>
    <w:uiPriority w:val="0"/>
    <w:pPr>
      <w:adjustRightInd w:val="0"/>
      <w:spacing w:before="240" w:after="60" w:line="420" w:lineRule="atLeast"/>
      <w:jc w:val="center"/>
      <w:textAlignment w:val="baseline"/>
      <w:outlineLvl w:val="0"/>
    </w:pPr>
    <w:rPr>
      <w:rFonts w:ascii="Arial" w:hAnsi="Arial" w:eastAsia="宋体"/>
      <w:b/>
      <w:kern w:val="0"/>
      <w:sz w:val="32"/>
      <w:szCs w:val="20"/>
    </w:rPr>
  </w:style>
  <w:style w:type="paragraph" w:styleId="26">
    <w:name w:val="annotation subject"/>
    <w:basedOn w:val="9"/>
    <w:next w:val="9"/>
    <w:link w:val="49"/>
    <w:qFormat/>
    <w:uiPriority w:val="0"/>
    <w:rPr>
      <w:b/>
      <w:bCs/>
    </w:rPr>
  </w:style>
  <w:style w:type="paragraph" w:styleId="27">
    <w:name w:val="Body Text First Indent"/>
    <w:basedOn w:val="10"/>
    <w:next w:val="28"/>
    <w:link w:val="50"/>
    <w:qFormat/>
    <w:uiPriority w:val="0"/>
    <w:pPr>
      <w:spacing w:after="120" w:line="240" w:lineRule="auto"/>
      <w:ind w:firstLine="420" w:firstLineChars="100"/>
    </w:pPr>
    <w:rPr>
      <w:b w:val="0"/>
      <w:bCs w:val="0"/>
      <w:sz w:val="21"/>
      <w:szCs w:val="24"/>
    </w:rPr>
  </w:style>
  <w:style w:type="paragraph" w:styleId="28">
    <w:name w:val="Body Text First Indent 2"/>
    <w:basedOn w:val="12"/>
    <w:next w:val="1"/>
    <w:qFormat/>
    <w:uiPriority w:val="0"/>
    <w:pPr>
      <w:tabs>
        <w:tab w:val="left" w:pos="945"/>
        <w:tab w:val="left" w:pos="1155"/>
      </w:tabs>
      <w:ind w:left="420" w:firstLine="420" w:firstLineChars="200"/>
    </w:pPr>
  </w:style>
  <w:style w:type="table" w:styleId="30">
    <w:name w:val="Table Grid"/>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basedOn w:val="31"/>
    <w:qFormat/>
    <w:uiPriority w:val="0"/>
    <w:rPr>
      <w:b/>
      <w:sz w:val="24"/>
      <w:szCs w:val="24"/>
    </w:rPr>
  </w:style>
  <w:style w:type="character" w:styleId="33">
    <w:name w:val="page number"/>
    <w:basedOn w:val="31"/>
    <w:qFormat/>
    <w:uiPriority w:val="0"/>
  </w:style>
  <w:style w:type="character" w:styleId="34">
    <w:name w:val="FollowedHyperlink"/>
    <w:basedOn w:val="31"/>
    <w:qFormat/>
    <w:uiPriority w:val="0"/>
    <w:rPr>
      <w:color w:val="333333"/>
      <w:u w:val="none"/>
    </w:rPr>
  </w:style>
  <w:style w:type="character" w:styleId="35">
    <w:name w:val="Emphasis"/>
    <w:qFormat/>
    <w:uiPriority w:val="99"/>
    <w:rPr>
      <w:i/>
      <w:iCs/>
    </w:rPr>
  </w:style>
  <w:style w:type="character" w:styleId="36">
    <w:name w:val="HTML Definition"/>
    <w:basedOn w:val="31"/>
    <w:qFormat/>
    <w:uiPriority w:val="0"/>
  </w:style>
  <w:style w:type="character" w:styleId="37">
    <w:name w:val="HTML Typewriter"/>
    <w:basedOn w:val="31"/>
    <w:qFormat/>
    <w:uiPriority w:val="0"/>
    <w:rPr>
      <w:rFonts w:hint="default" w:ascii="monospace" w:hAnsi="monospace" w:eastAsia="monospace" w:cs="monospace"/>
      <w:sz w:val="20"/>
    </w:rPr>
  </w:style>
  <w:style w:type="character" w:styleId="38">
    <w:name w:val="HTML Acronym"/>
    <w:basedOn w:val="31"/>
    <w:qFormat/>
    <w:uiPriority w:val="0"/>
  </w:style>
  <w:style w:type="character" w:styleId="39">
    <w:name w:val="HTML Variable"/>
    <w:basedOn w:val="31"/>
    <w:qFormat/>
    <w:uiPriority w:val="0"/>
  </w:style>
  <w:style w:type="character" w:styleId="40">
    <w:name w:val="Hyperlink"/>
    <w:basedOn w:val="31"/>
    <w:qFormat/>
    <w:uiPriority w:val="0"/>
    <w:rPr>
      <w:color w:val="333333"/>
      <w:u w:val="none"/>
    </w:rPr>
  </w:style>
  <w:style w:type="character" w:styleId="41">
    <w:name w:val="HTML Code"/>
    <w:basedOn w:val="31"/>
    <w:qFormat/>
    <w:uiPriority w:val="0"/>
    <w:rPr>
      <w:rFonts w:hint="default" w:ascii="monospace" w:hAnsi="monospace" w:eastAsia="monospace" w:cs="monospace"/>
      <w:sz w:val="20"/>
    </w:rPr>
  </w:style>
  <w:style w:type="character" w:styleId="42">
    <w:name w:val="annotation reference"/>
    <w:qFormat/>
    <w:uiPriority w:val="99"/>
    <w:rPr>
      <w:sz w:val="21"/>
      <w:szCs w:val="21"/>
    </w:rPr>
  </w:style>
  <w:style w:type="character" w:styleId="43">
    <w:name w:val="HTML Cite"/>
    <w:basedOn w:val="31"/>
    <w:qFormat/>
    <w:uiPriority w:val="0"/>
    <w:rPr>
      <w:sz w:val="24"/>
      <w:szCs w:val="24"/>
    </w:rPr>
  </w:style>
  <w:style w:type="character" w:styleId="44">
    <w:name w:val="HTML Keyboard"/>
    <w:basedOn w:val="31"/>
    <w:qFormat/>
    <w:uiPriority w:val="0"/>
    <w:rPr>
      <w:rFonts w:hint="default" w:ascii="monospace" w:hAnsi="monospace" w:eastAsia="monospace" w:cs="monospace"/>
      <w:sz w:val="20"/>
    </w:rPr>
  </w:style>
  <w:style w:type="character" w:styleId="45">
    <w:name w:val="HTML Sample"/>
    <w:basedOn w:val="31"/>
    <w:qFormat/>
    <w:uiPriority w:val="0"/>
    <w:rPr>
      <w:rFonts w:ascii="monospace" w:hAnsi="monospace" w:eastAsia="monospace" w:cs="monospace"/>
    </w:rPr>
  </w:style>
  <w:style w:type="paragraph" w:customStyle="1" w:styleId="46">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47">
    <w:name w:val="批注文字 字符"/>
    <w:link w:val="9"/>
    <w:qFormat/>
    <w:uiPriority w:val="99"/>
    <w:rPr>
      <w:rFonts w:eastAsia="仿宋"/>
      <w:kern w:val="2"/>
      <w:sz w:val="21"/>
      <w:szCs w:val="24"/>
    </w:rPr>
  </w:style>
  <w:style w:type="character" w:customStyle="1" w:styleId="48">
    <w:name w:val="正文文本 字符"/>
    <w:link w:val="10"/>
    <w:qFormat/>
    <w:uiPriority w:val="0"/>
    <w:rPr>
      <w:rFonts w:ascii="Arial Unicode MS" w:hAnsi="汉仪中等线简" w:eastAsia="Arial Unicode MS"/>
      <w:b/>
      <w:bCs/>
      <w:spacing w:val="4"/>
      <w:kern w:val="2"/>
      <w:sz w:val="24"/>
    </w:rPr>
  </w:style>
  <w:style w:type="character" w:customStyle="1" w:styleId="49">
    <w:name w:val="批注主题 字符"/>
    <w:link w:val="26"/>
    <w:qFormat/>
    <w:uiPriority w:val="0"/>
    <w:rPr>
      <w:rFonts w:eastAsia="仿宋"/>
      <w:b/>
      <w:bCs/>
      <w:kern w:val="2"/>
      <w:sz w:val="21"/>
      <w:szCs w:val="24"/>
    </w:rPr>
  </w:style>
  <w:style w:type="character" w:customStyle="1" w:styleId="50">
    <w:name w:val="正文文本首行缩进 字符"/>
    <w:link w:val="27"/>
    <w:qFormat/>
    <w:uiPriority w:val="0"/>
    <w:rPr>
      <w:rFonts w:ascii="Arial Unicode MS" w:hAnsi="汉仪中等线简" w:eastAsia="Arial Unicode MS"/>
      <w:spacing w:val="4"/>
      <w:kern w:val="2"/>
      <w:sz w:val="21"/>
      <w:szCs w:val="24"/>
    </w:rPr>
  </w:style>
  <w:style w:type="character" w:customStyle="1" w:styleId="51">
    <w:name w:val="批注框文本 字符"/>
    <w:link w:val="18"/>
    <w:qFormat/>
    <w:uiPriority w:val="0"/>
    <w:rPr>
      <w:rFonts w:eastAsia="仿宋"/>
      <w:kern w:val="2"/>
      <w:sz w:val="18"/>
      <w:szCs w:val="18"/>
    </w:rPr>
  </w:style>
  <w:style w:type="character" w:customStyle="1" w:styleId="52">
    <w:name w:val="标题 1 字符"/>
    <w:link w:val="3"/>
    <w:qFormat/>
    <w:locked/>
    <w:uiPriority w:val="0"/>
    <w:rPr>
      <w:b/>
      <w:kern w:val="44"/>
      <w:sz w:val="44"/>
    </w:rPr>
  </w:style>
  <w:style w:type="paragraph" w:customStyle="1" w:styleId="53">
    <w:name w:val="Table Paragraph"/>
    <w:basedOn w:val="1"/>
    <w:qFormat/>
    <w:uiPriority w:val="1"/>
    <w:pPr>
      <w:jc w:val="left"/>
    </w:pPr>
    <w:rPr>
      <w:rFonts w:eastAsia="Calibri"/>
      <w:kern w:val="0"/>
      <w:sz w:val="22"/>
      <w:szCs w:val="22"/>
      <w:lang w:eastAsia="en-US"/>
    </w:rPr>
  </w:style>
  <w:style w:type="paragraph" w:customStyle="1" w:styleId="54">
    <w:name w:val="列出段落1"/>
    <w:basedOn w:val="1"/>
    <w:qFormat/>
    <w:uiPriority w:val="34"/>
    <w:pPr>
      <w:ind w:firstLine="420" w:firstLineChars="200"/>
    </w:pPr>
  </w:style>
  <w:style w:type="paragraph" w:customStyle="1" w:styleId="55">
    <w:name w:val="无间隔1"/>
    <w:qFormat/>
    <w:uiPriority w:val="1"/>
    <w:pPr>
      <w:widowControl w:val="0"/>
      <w:jc w:val="both"/>
    </w:pPr>
    <w:rPr>
      <w:rFonts w:ascii="Calibri" w:hAnsi="Calibri" w:eastAsia="宋体" w:cs="Times New Roman"/>
      <w:kern w:val="2"/>
      <w:sz w:val="21"/>
      <w:szCs w:val="22"/>
      <w:lang w:val="en-US" w:eastAsia="zh-CN" w:bidi="ar-SA"/>
    </w:rPr>
  </w:style>
  <w:style w:type="character" w:customStyle="1" w:styleId="56">
    <w:name w:val="标题 2 字符"/>
    <w:link w:val="4"/>
    <w:qFormat/>
    <w:uiPriority w:val="0"/>
    <w:rPr>
      <w:rFonts w:ascii="Arial" w:hAnsi="Arial"/>
      <w:b/>
      <w:sz w:val="28"/>
    </w:rPr>
  </w:style>
  <w:style w:type="paragraph" w:customStyle="1" w:styleId="57">
    <w:name w:val="样式 正文首行缩进 2 + Arial"/>
    <w:basedOn w:val="1"/>
    <w:next w:val="1"/>
    <w:qFormat/>
    <w:uiPriority w:val="0"/>
    <w:pPr>
      <w:spacing w:after="120" w:line="320" w:lineRule="atLeast"/>
      <w:ind w:firstLine="200" w:firstLineChars="200"/>
    </w:pPr>
    <w:rPr>
      <w:rFonts w:ascii="Arial" w:hAnsi="Arial"/>
      <w:kern w:val="0"/>
    </w:rPr>
  </w:style>
  <w:style w:type="character" w:customStyle="1" w:styleId="58">
    <w:name w:val="NormalCharacter"/>
    <w:qFormat/>
    <w:uiPriority w:val="0"/>
  </w:style>
  <w:style w:type="paragraph" w:customStyle="1" w:styleId="59">
    <w:name w:val="正文缩进2字"/>
    <w:basedOn w:val="27"/>
    <w:qFormat/>
    <w:uiPriority w:val="0"/>
    <w:pPr>
      <w:adjustRightInd w:val="0"/>
      <w:snapToGrid w:val="0"/>
      <w:spacing w:after="0" w:line="300" w:lineRule="auto"/>
      <w:ind w:firstLine="200" w:firstLineChars="200"/>
    </w:pPr>
    <w:rPr>
      <w:sz w:val="24"/>
    </w:rPr>
  </w:style>
  <w:style w:type="paragraph" w:customStyle="1" w:styleId="60">
    <w:name w:val="标题 81"/>
    <w:basedOn w:val="1"/>
    <w:qFormat/>
    <w:uiPriority w:val="1"/>
    <w:pPr>
      <w:spacing w:before="36"/>
      <w:ind w:left="464"/>
      <w:outlineLvl w:val="8"/>
    </w:pPr>
    <w:rPr>
      <w:b/>
      <w:bCs/>
      <w:sz w:val="24"/>
    </w:rPr>
  </w:style>
  <w:style w:type="paragraph" w:customStyle="1" w:styleId="61">
    <w:name w:val="正文首行缩进 21"/>
    <w:basedOn w:val="12"/>
    <w:next w:val="57"/>
    <w:qFormat/>
    <w:uiPriority w:val="0"/>
    <w:pPr>
      <w:ind w:left="420" w:firstLine="420" w:firstLineChars="200"/>
    </w:pPr>
    <w:rPr>
      <w:kern w:val="0"/>
    </w:rPr>
  </w:style>
  <w:style w:type="paragraph" w:customStyle="1" w:styleId="62">
    <w:name w:val="DS-正文样式"/>
    <w:basedOn w:val="1"/>
    <w:qFormat/>
    <w:uiPriority w:val="0"/>
    <w:pPr>
      <w:numPr>
        <w:ilvl w:val="0"/>
        <w:numId w:val="1"/>
      </w:numPr>
      <w:ind w:left="0" w:firstLine="560"/>
    </w:pPr>
    <w:rPr>
      <w:rFonts w:ascii="仿宋" w:hAnsi="仿宋" w:cs="宋体"/>
      <w:sz w:val="28"/>
      <w:szCs w:val="28"/>
    </w:rPr>
  </w:style>
  <w:style w:type="character" w:customStyle="1" w:styleId="63">
    <w:name w:val="标题 2 Char"/>
    <w:qFormat/>
    <w:uiPriority w:val="0"/>
    <w:rPr>
      <w:rFonts w:ascii="Arial Narrow" w:hAnsi="Arial Narrow" w:eastAsia="Tms Rmn" w:cs="Courier"/>
      <w:b/>
      <w:kern w:val="2"/>
      <w:sz w:val="44"/>
      <w:lang w:val="en-US" w:eastAsia="zh-CN" w:bidi="ar-SA"/>
    </w:rPr>
  </w:style>
  <w:style w:type="paragraph" w:customStyle="1" w:styleId="64">
    <w:name w:val="二级标题"/>
    <w:basedOn w:val="4"/>
    <w:qFormat/>
    <w:uiPriority w:val="0"/>
    <w:pPr>
      <w:numPr>
        <w:ilvl w:val="0"/>
        <w:numId w:val="2"/>
      </w:numPr>
      <w:tabs>
        <w:tab w:val="left" w:pos="567"/>
      </w:tabs>
      <w:spacing w:beforeLines="50" w:afterLines="50"/>
      <w:ind w:right="210"/>
    </w:pPr>
    <w:rPr>
      <w:rFonts w:ascii="黑体" w:hAnsi="宋体" w:eastAsia="黑体"/>
      <w:sz w:val="32"/>
      <w:szCs w:val="32"/>
    </w:rPr>
  </w:style>
  <w:style w:type="table" w:customStyle="1" w:styleId="65">
    <w:name w:val="!我的表格1"/>
    <w:basedOn w:val="29"/>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6">
    <w:name w:val="文档结构图 字符"/>
    <w:basedOn w:val="31"/>
    <w:link w:val="8"/>
    <w:qFormat/>
    <w:uiPriority w:val="0"/>
    <w:rPr>
      <w:rFonts w:ascii="宋体" w:hAnsi="Calibri"/>
      <w:kern w:val="2"/>
      <w:sz w:val="18"/>
      <w:szCs w:val="18"/>
    </w:rPr>
  </w:style>
  <w:style w:type="character" w:customStyle="1" w:styleId="67">
    <w:name w:val="纯文本 字符"/>
    <w:link w:val="16"/>
    <w:qFormat/>
    <w:uiPriority w:val="0"/>
    <w:rPr>
      <w:rFonts w:ascii="宋体" w:hAnsi="Courier New" w:eastAsia="仿宋" w:cs="Courier New"/>
      <w:kern w:val="2"/>
      <w:sz w:val="21"/>
      <w:szCs w:val="21"/>
    </w:rPr>
  </w:style>
  <w:style w:type="character" w:customStyle="1" w:styleId="68">
    <w:name w:val="hover"/>
    <w:basedOn w:val="31"/>
    <w:qFormat/>
    <w:uiPriority w:val="0"/>
    <w:rPr>
      <w:color w:val="2590EB"/>
    </w:rPr>
  </w:style>
  <w:style w:type="character" w:customStyle="1" w:styleId="69">
    <w:name w:val="hover1"/>
    <w:basedOn w:val="31"/>
    <w:qFormat/>
    <w:uiPriority w:val="0"/>
    <w:rPr>
      <w:color w:val="2590EB"/>
      <w:shd w:val="clear" w:color="auto" w:fill="E9F4FD"/>
    </w:rPr>
  </w:style>
  <w:style w:type="character" w:customStyle="1" w:styleId="70">
    <w:name w:val="hover2"/>
    <w:basedOn w:val="31"/>
    <w:qFormat/>
    <w:uiPriority w:val="0"/>
  </w:style>
  <w:style w:type="character" w:customStyle="1" w:styleId="71">
    <w:name w:val="hover3"/>
    <w:basedOn w:val="31"/>
    <w:qFormat/>
    <w:uiPriority w:val="0"/>
    <w:rPr>
      <w:color w:val="2590EB"/>
    </w:rPr>
  </w:style>
  <w:style w:type="character" w:customStyle="1" w:styleId="72">
    <w:name w:val="mini-outputtext1"/>
    <w:basedOn w:val="31"/>
    <w:qFormat/>
    <w:uiPriority w:val="0"/>
  </w:style>
  <w:style w:type="paragraph" w:customStyle="1" w:styleId="73">
    <w:name w:val="人才培养正文样式"/>
    <w:basedOn w:val="1"/>
    <w:qFormat/>
    <w:uiPriority w:val="99"/>
    <w:pPr>
      <w:spacing w:line="400" w:lineRule="exact"/>
      <w:ind w:firstLine="420" w:firstLineChars="200"/>
      <w:jc w:val="left"/>
    </w:pPr>
    <w:rPr>
      <w:rFonts w:ascii="宋体" w:hAnsi="宋体" w:cs="宋体"/>
      <w:szCs w:val="21"/>
    </w:rPr>
  </w:style>
  <w:style w:type="paragraph" w:styleId="74">
    <w:name w:val="List Paragraph"/>
    <w:basedOn w:val="1"/>
    <w:qFormat/>
    <w:uiPriority w:val="34"/>
    <w:pPr>
      <w:ind w:firstLine="420" w:firstLineChars="200"/>
    </w:pPr>
  </w:style>
  <w:style w:type="character" w:customStyle="1" w:styleId="75">
    <w:name w:val="fr"/>
    <w:basedOn w:val="31"/>
    <w:qFormat/>
    <w:uiPriority w:val="0"/>
  </w:style>
  <w:style w:type="character" w:customStyle="1" w:styleId="76">
    <w:name w:val="icon_ds"/>
    <w:basedOn w:val="31"/>
    <w:qFormat/>
    <w:uiPriority w:val="0"/>
    <w:rPr>
      <w:sz w:val="21"/>
      <w:szCs w:val="21"/>
    </w:rPr>
  </w:style>
  <w:style w:type="character" w:customStyle="1" w:styleId="77">
    <w:name w:val="icon_ds1"/>
    <w:basedOn w:val="31"/>
    <w:qFormat/>
    <w:uiPriority w:val="0"/>
  </w:style>
  <w:style w:type="character" w:customStyle="1" w:styleId="78">
    <w:name w:val="first-child"/>
    <w:basedOn w:val="31"/>
    <w:qFormat/>
    <w:uiPriority w:val="0"/>
    <w:rPr>
      <w:color w:val="1F3149"/>
      <w:sz w:val="24"/>
      <w:szCs w:val="24"/>
    </w:rPr>
  </w:style>
  <w:style w:type="character" w:customStyle="1" w:styleId="79">
    <w:name w:val="first-child1"/>
    <w:basedOn w:val="31"/>
    <w:qFormat/>
    <w:uiPriority w:val="0"/>
    <w:rPr>
      <w:color w:val="1F3149"/>
      <w:sz w:val="24"/>
      <w:szCs w:val="24"/>
    </w:rPr>
  </w:style>
  <w:style w:type="character" w:customStyle="1" w:styleId="80">
    <w:name w:val="xiadan"/>
    <w:basedOn w:val="31"/>
    <w:qFormat/>
    <w:uiPriority w:val="0"/>
    <w:rPr>
      <w:shd w:val="clear" w:color="auto" w:fill="E4393C"/>
    </w:rPr>
  </w:style>
  <w:style w:type="character" w:customStyle="1" w:styleId="81">
    <w:name w:val="icon_gys"/>
    <w:basedOn w:val="31"/>
    <w:qFormat/>
    <w:uiPriority w:val="0"/>
    <w:rPr>
      <w:sz w:val="21"/>
      <w:szCs w:val="21"/>
    </w:rPr>
  </w:style>
  <w:style w:type="character" w:customStyle="1" w:styleId="82">
    <w:name w:val="redio1"/>
    <w:basedOn w:val="31"/>
    <w:qFormat/>
    <w:uiPriority w:val="0"/>
  </w:style>
  <w:style w:type="character" w:customStyle="1" w:styleId="83">
    <w:name w:val="first-child2"/>
    <w:basedOn w:val="31"/>
    <w:qFormat/>
    <w:uiPriority w:val="0"/>
    <w:rPr>
      <w:color w:val="1F3149"/>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64</Pages>
  <Words>5405</Words>
  <Characters>30815</Characters>
  <Lines>256</Lines>
  <Paragraphs>72</Paragraphs>
  <TotalTime>0</TotalTime>
  <ScaleCrop>false</ScaleCrop>
  <LinksUpToDate>false</LinksUpToDate>
  <CharactersWithSpaces>36148</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2022-09-09T02:11:00Z</dcterms:created>
  <dc:creator>Lenovo</dc:creator>
  <cp:lastModifiedBy>S.</cp:lastModifiedBy>
  <dcterms:modified xsi:type="dcterms:W3CDTF">2022-09-26T01:16:55Z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A09CCE2A7134488D8BCD221903F5F600</vt:lpwstr>
  </property>
</Properties>
</file>